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1C70D">
      <w:pPr>
        <w:jc w:val="center"/>
        <w:rPr>
          <w:rFonts w:ascii="仿宋_GB2312" w:hAnsi="仿宋_GB2312" w:eastAsia="仿宋_GB2312" w:cs="仿宋_GB2312"/>
          <w:b/>
          <w:bCs/>
          <w:sz w:val="30"/>
          <w:szCs w:val="30"/>
        </w:rPr>
      </w:pPr>
      <w:bookmarkStart w:id="0" w:name="_GoBack"/>
      <w:bookmarkEnd w:id="0"/>
      <w:r>
        <w:rPr>
          <w:rFonts w:hint="eastAsia" w:ascii="仿宋_GB2312" w:hAnsi="仿宋_GB2312" w:eastAsia="仿宋_GB2312" w:cs="仿宋_GB2312"/>
          <w:b/>
          <w:bCs/>
          <w:sz w:val="30"/>
          <w:szCs w:val="30"/>
        </w:rPr>
        <w:t>（十二）木垒县农村危房改造领域基层政务公开标准目录</w:t>
      </w:r>
    </w:p>
    <w:tbl>
      <w:tblPr>
        <w:tblStyle w:val="2"/>
        <w:tblpPr w:leftFromText="180" w:rightFromText="180" w:vertAnchor="text" w:horzAnchor="page" w:tblpX="1321" w:tblpY="346"/>
        <w:tblOverlap w:val="never"/>
        <w:tblW w:w="14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716"/>
        <w:gridCol w:w="1134"/>
        <w:gridCol w:w="1816"/>
        <w:gridCol w:w="2134"/>
        <w:gridCol w:w="1483"/>
        <w:gridCol w:w="1050"/>
        <w:gridCol w:w="2733"/>
        <w:gridCol w:w="750"/>
        <w:gridCol w:w="700"/>
        <w:gridCol w:w="650"/>
        <w:gridCol w:w="700"/>
      </w:tblGrid>
      <w:tr w14:paraId="36DD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0" w:type="dxa"/>
            <w:vMerge w:val="restart"/>
            <w:shd w:val="clear" w:color="auto" w:fill="auto"/>
            <w:vAlign w:val="center"/>
          </w:tcPr>
          <w:p w14:paraId="0DFB2D88">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1850" w:type="dxa"/>
            <w:gridSpan w:val="2"/>
            <w:shd w:val="clear" w:color="auto" w:fill="auto"/>
            <w:vAlign w:val="center"/>
          </w:tcPr>
          <w:p w14:paraId="2A09B08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公开事项</w:t>
            </w:r>
          </w:p>
        </w:tc>
        <w:tc>
          <w:tcPr>
            <w:tcW w:w="1816" w:type="dxa"/>
            <w:vMerge w:val="restart"/>
            <w:shd w:val="clear" w:color="auto" w:fill="auto"/>
            <w:vAlign w:val="center"/>
          </w:tcPr>
          <w:p w14:paraId="425ACF2B">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公开内容（要素）</w:t>
            </w:r>
          </w:p>
        </w:tc>
        <w:tc>
          <w:tcPr>
            <w:tcW w:w="2134" w:type="dxa"/>
            <w:vMerge w:val="restart"/>
            <w:shd w:val="clear" w:color="auto" w:fill="auto"/>
            <w:vAlign w:val="center"/>
          </w:tcPr>
          <w:p w14:paraId="2DB1558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公开依据</w:t>
            </w:r>
          </w:p>
        </w:tc>
        <w:tc>
          <w:tcPr>
            <w:tcW w:w="1483" w:type="dxa"/>
            <w:vMerge w:val="restart"/>
            <w:shd w:val="clear" w:color="auto" w:fill="auto"/>
            <w:vAlign w:val="center"/>
          </w:tcPr>
          <w:p w14:paraId="18623D48">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公开时限</w:t>
            </w:r>
          </w:p>
        </w:tc>
        <w:tc>
          <w:tcPr>
            <w:tcW w:w="1050" w:type="dxa"/>
            <w:vMerge w:val="restart"/>
            <w:shd w:val="clear" w:color="auto" w:fill="auto"/>
            <w:vAlign w:val="center"/>
          </w:tcPr>
          <w:p w14:paraId="65770D6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公开主体</w:t>
            </w:r>
          </w:p>
        </w:tc>
        <w:tc>
          <w:tcPr>
            <w:tcW w:w="2733" w:type="dxa"/>
            <w:vMerge w:val="restart"/>
            <w:shd w:val="clear" w:color="auto" w:fill="auto"/>
            <w:vAlign w:val="center"/>
          </w:tcPr>
          <w:p w14:paraId="6B64A26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公开渠道和载体</w:t>
            </w:r>
          </w:p>
        </w:tc>
        <w:tc>
          <w:tcPr>
            <w:tcW w:w="1450" w:type="dxa"/>
            <w:gridSpan w:val="2"/>
            <w:shd w:val="clear" w:color="auto" w:fill="auto"/>
            <w:vAlign w:val="center"/>
          </w:tcPr>
          <w:p w14:paraId="581E1F2C">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公开对象</w:t>
            </w:r>
          </w:p>
        </w:tc>
        <w:tc>
          <w:tcPr>
            <w:tcW w:w="1350" w:type="dxa"/>
            <w:gridSpan w:val="2"/>
            <w:shd w:val="clear" w:color="auto" w:fill="auto"/>
            <w:vAlign w:val="center"/>
          </w:tcPr>
          <w:p w14:paraId="731DD8D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公开方式</w:t>
            </w:r>
          </w:p>
        </w:tc>
      </w:tr>
      <w:tr w14:paraId="0EE2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0" w:type="dxa"/>
            <w:vMerge w:val="continue"/>
            <w:shd w:val="clear" w:color="auto" w:fill="auto"/>
            <w:vAlign w:val="center"/>
          </w:tcPr>
          <w:p w14:paraId="79611B2F">
            <w:pPr>
              <w:jc w:val="center"/>
              <w:rPr>
                <w:rFonts w:ascii="仿宋_GB2312" w:hAnsi="仿宋_GB2312" w:eastAsia="仿宋_GB2312" w:cs="仿宋_GB2312"/>
                <w:sz w:val="18"/>
                <w:szCs w:val="18"/>
              </w:rPr>
            </w:pPr>
          </w:p>
        </w:tc>
        <w:tc>
          <w:tcPr>
            <w:tcW w:w="716" w:type="dxa"/>
            <w:shd w:val="clear" w:color="auto" w:fill="auto"/>
            <w:vAlign w:val="center"/>
          </w:tcPr>
          <w:p w14:paraId="1AFC48B9">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一级事项</w:t>
            </w:r>
          </w:p>
        </w:tc>
        <w:tc>
          <w:tcPr>
            <w:tcW w:w="1134" w:type="dxa"/>
            <w:shd w:val="clear" w:color="auto" w:fill="auto"/>
            <w:vAlign w:val="center"/>
          </w:tcPr>
          <w:p w14:paraId="4197E83F">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二级事项</w:t>
            </w:r>
          </w:p>
        </w:tc>
        <w:tc>
          <w:tcPr>
            <w:tcW w:w="1816" w:type="dxa"/>
            <w:vMerge w:val="continue"/>
            <w:shd w:val="clear" w:color="auto" w:fill="auto"/>
            <w:vAlign w:val="center"/>
          </w:tcPr>
          <w:p w14:paraId="361F2B7C">
            <w:pPr>
              <w:jc w:val="center"/>
              <w:rPr>
                <w:rFonts w:ascii="仿宋_GB2312" w:hAnsi="仿宋_GB2312" w:eastAsia="仿宋_GB2312" w:cs="仿宋_GB2312"/>
                <w:sz w:val="18"/>
                <w:szCs w:val="18"/>
              </w:rPr>
            </w:pPr>
          </w:p>
        </w:tc>
        <w:tc>
          <w:tcPr>
            <w:tcW w:w="2134" w:type="dxa"/>
            <w:vMerge w:val="continue"/>
            <w:shd w:val="clear" w:color="auto" w:fill="auto"/>
            <w:vAlign w:val="center"/>
          </w:tcPr>
          <w:p w14:paraId="2F9B9309">
            <w:pPr>
              <w:jc w:val="center"/>
              <w:rPr>
                <w:rFonts w:ascii="仿宋_GB2312" w:hAnsi="仿宋_GB2312" w:eastAsia="仿宋_GB2312" w:cs="仿宋_GB2312"/>
                <w:sz w:val="18"/>
                <w:szCs w:val="18"/>
              </w:rPr>
            </w:pPr>
          </w:p>
        </w:tc>
        <w:tc>
          <w:tcPr>
            <w:tcW w:w="1483" w:type="dxa"/>
            <w:vMerge w:val="continue"/>
            <w:shd w:val="clear" w:color="auto" w:fill="auto"/>
            <w:vAlign w:val="center"/>
          </w:tcPr>
          <w:p w14:paraId="5EE1A3E7">
            <w:pPr>
              <w:jc w:val="center"/>
              <w:rPr>
                <w:rFonts w:ascii="仿宋_GB2312" w:hAnsi="仿宋_GB2312" w:eastAsia="仿宋_GB2312" w:cs="仿宋_GB2312"/>
                <w:sz w:val="18"/>
                <w:szCs w:val="18"/>
              </w:rPr>
            </w:pPr>
          </w:p>
        </w:tc>
        <w:tc>
          <w:tcPr>
            <w:tcW w:w="1050" w:type="dxa"/>
            <w:vMerge w:val="continue"/>
            <w:shd w:val="clear" w:color="auto" w:fill="auto"/>
            <w:vAlign w:val="center"/>
          </w:tcPr>
          <w:p w14:paraId="5951A200">
            <w:pPr>
              <w:jc w:val="center"/>
              <w:rPr>
                <w:rFonts w:ascii="仿宋_GB2312" w:hAnsi="仿宋_GB2312" w:eastAsia="仿宋_GB2312" w:cs="仿宋_GB2312"/>
                <w:sz w:val="18"/>
                <w:szCs w:val="18"/>
              </w:rPr>
            </w:pPr>
          </w:p>
        </w:tc>
        <w:tc>
          <w:tcPr>
            <w:tcW w:w="2733" w:type="dxa"/>
            <w:vMerge w:val="continue"/>
            <w:shd w:val="clear" w:color="auto" w:fill="auto"/>
            <w:vAlign w:val="center"/>
          </w:tcPr>
          <w:p w14:paraId="5590E151">
            <w:pPr>
              <w:jc w:val="center"/>
              <w:rPr>
                <w:rFonts w:ascii="仿宋_GB2312" w:hAnsi="仿宋_GB2312" w:eastAsia="仿宋_GB2312" w:cs="仿宋_GB2312"/>
                <w:sz w:val="18"/>
                <w:szCs w:val="18"/>
              </w:rPr>
            </w:pPr>
          </w:p>
        </w:tc>
        <w:tc>
          <w:tcPr>
            <w:tcW w:w="750" w:type="dxa"/>
            <w:shd w:val="clear" w:color="auto" w:fill="auto"/>
            <w:vAlign w:val="center"/>
          </w:tcPr>
          <w:p w14:paraId="26B1434C">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全社会</w:t>
            </w:r>
          </w:p>
        </w:tc>
        <w:tc>
          <w:tcPr>
            <w:tcW w:w="700" w:type="dxa"/>
            <w:shd w:val="clear" w:color="auto" w:fill="auto"/>
            <w:vAlign w:val="center"/>
          </w:tcPr>
          <w:p w14:paraId="17774A7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特定群众</w:t>
            </w:r>
          </w:p>
        </w:tc>
        <w:tc>
          <w:tcPr>
            <w:tcW w:w="650" w:type="dxa"/>
            <w:shd w:val="clear" w:color="auto" w:fill="auto"/>
            <w:vAlign w:val="center"/>
          </w:tcPr>
          <w:p w14:paraId="407734E6">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主动</w:t>
            </w:r>
          </w:p>
        </w:tc>
        <w:tc>
          <w:tcPr>
            <w:tcW w:w="700" w:type="dxa"/>
            <w:shd w:val="clear" w:color="auto" w:fill="auto"/>
            <w:vAlign w:val="center"/>
          </w:tcPr>
          <w:p w14:paraId="345A298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依申请公开</w:t>
            </w:r>
          </w:p>
        </w:tc>
      </w:tr>
      <w:tr w14:paraId="19615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0" w:type="dxa"/>
            <w:shd w:val="clear" w:color="auto" w:fill="auto"/>
            <w:vAlign w:val="center"/>
          </w:tcPr>
          <w:p w14:paraId="3C48809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716" w:type="dxa"/>
            <w:shd w:val="clear" w:color="auto" w:fill="auto"/>
            <w:vAlign w:val="center"/>
          </w:tcPr>
          <w:p w14:paraId="38C4DA19">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部门文件</w:t>
            </w:r>
          </w:p>
        </w:tc>
        <w:tc>
          <w:tcPr>
            <w:tcW w:w="1134" w:type="dxa"/>
            <w:shd w:val="clear" w:color="auto" w:fill="auto"/>
            <w:vAlign w:val="center"/>
          </w:tcPr>
          <w:p w14:paraId="4BEA82DA">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农村危房改造相关文件</w:t>
            </w:r>
          </w:p>
        </w:tc>
        <w:tc>
          <w:tcPr>
            <w:tcW w:w="1816" w:type="dxa"/>
            <w:shd w:val="clear" w:color="auto" w:fill="auto"/>
            <w:vAlign w:val="center"/>
          </w:tcPr>
          <w:p w14:paraId="143A0E79">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文件分类、生成日期、标题、文号、有效性、关键词和具体内容等</w:t>
            </w:r>
          </w:p>
        </w:tc>
        <w:tc>
          <w:tcPr>
            <w:tcW w:w="2134" w:type="dxa"/>
            <w:shd w:val="clear" w:color="auto" w:fill="auto"/>
            <w:vAlign w:val="center"/>
          </w:tcPr>
          <w:p w14:paraId="17FCD09A">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《政府信息公开条例》、《关于全面推进政务公开工作的意见》及其实施细则</w:t>
            </w:r>
          </w:p>
        </w:tc>
        <w:tc>
          <w:tcPr>
            <w:tcW w:w="1483" w:type="dxa"/>
            <w:shd w:val="clear" w:color="auto" w:fill="auto"/>
            <w:vAlign w:val="center"/>
          </w:tcPr>
          <w:p w14:paraId="59AC43C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信息形成之日起20个工作日内</w:t>
            </w:r>
          </w:p>
        </w:tc>
        <w:tc>
          <w:tcPr>
            <w:tcW w:w="1050" w:type="dxa"/>
            <w:shd w:val="clear" w:color="auto" w:fill="auto"/>
            <w:vAlign w:val="center"/>
          </w:tcPr>
          <w:p w14:paraId="70BFB43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住房和城乡建设等相关职能部门</w:t>
            </w:r>
          </w:p>
        </w:tc>
        <w:tc>
          <w:tcPr>
            <w:tcW w:w="2733" w:type="dxa"/>
            <w:shd w:val="clear" w:color="auto" w:fill="auto"/>
            <w:vAlign w:val="center"/>
          </w:tcPr>
          <w:p w14:paraId="4964D07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政府门户网站、政务新媒体、广播、电视、报纸、公示栏等平台和办事大厅、便民服务窗口等场所</w:t>
            </w:r>
          </w:p>
        </w:tc>
        <w:tc>
          <w:tcPr>
            <w:tcW w:w="750" w:type="dxa"/>
            <w:shd w:val="clear" w:color="auto" w:fill="auto"/>
            <w:vAlign w:val="center"/>
          </w:tcPr>
          <w:p w14:paraId="0B67D4F6">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7150C267">
            <w:pPr>
              <w:jc w:val="center"/>
              <w:rPr>
                <w:rFonts w:ascii="仿宋_GB2312" w:hAnsi="仿宋_GB2312" w:eastAsia="仿宋_GB2312" w:cs="仿宋_GB2312"/>
                <w:sz w:val="18"/>
                <w:szCs w:val="18"/>
              </w:rPr>
            </w:pPr>
          </w:p>
        </w:tc>
        <w:tc>
          <w:tcPr>
            <w:tcW w:w="650" w:type="dxa"/>
            <w:shd w:val="clear" w:color="auto" w:fill="auto"/>
            <w:vAlign w:val="center"/>
          </w:tcPr>
          <w:p w14:paraId="243E439B">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5C1055F4">
            <w:pPr>
              <w:jc w:val="center"/>
              <w:rPr>
                <w:rFonts w:ascii="仿宋_GB2312" w:hAnsi="仿宋_GB2312" w:eastAsia="仿宋_GB2312" w:cs="仿宋_GB2312"/>
                <w:sz w:val="18"/>
                <w:szCs w:val="18"/>
              </w:rPr>
            </w:pPr>
          </w:p>
        </w:tc>
      </w:tr>
      <w:tr w14:paraId="3A37D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50" w:type="dxa"/>
            <w:shd w:val="clear" w:color="auto" w:fill="auto"/>
            <w:vAlign w:val="center"/>
          </w:tcPr>
          <w:p w14:paraId="0C3313A7">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16" w:type="dxa"/>
            <w:vMerge w:val="restart"/>
            <w:shd w:val="clear" w:color="auto" w:fill="auto"/>
            <w:vAlign w:val="center"/>
          </w:tcPr>
          <w:p w14:paraId="5B21867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政策解读</w:t>
            </w:r>
          </w:p>
        </w:tc>
        <w:tc>
          <w:tcPr>
            <w:tcW w:w="1134" w:type="dxa"/>
            <w:shd w:val="clear" w:color="auto" w:fill="auto"/>
            <w:vAlign w:val="center"/>
          </w:tcPr>
          <w:p w14:paraId="7CD0FE37">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上级政策解读</w:t>
            </w:r>
          </w:p>
        </w:tc>
        <w:tc>
          <w:tcPr>
            <w:tcW w:w="1816" w:type="dxa"/>
            <w:vMerge w:val="restart"/>
            <w:shd w:val="clear" w:color="auto" w:fill="auto"/>
            <w:vAlign w:val="center"/>
          </w:tcPr>
          <w:p w14:paraId="7AF7881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着重解读政策措施的背景依据、目标任务、主要内容、涉及范围、执行标准，以及注意事项、关键词诠释、惠民利民举措、新旧政策差异等。</w:t>
            </w:r>
          </w:p>
        </w:tc>
        <w:tc>
          <w:tcPr>
            <w:tcW w:w="2134" w:type="dxa"/>
            <w:vMerge w:val="restart"/>
            <w:shd w:val="clear" w:color="auto" w:fill="auto"/>
            <w:vAlign w:val="center"/>
          </w:tcPr>
          <w:p w14:paraId="38E809A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《政府信息公开条例》、《关于全面推进政务公开工作的意见》及其实施细则</w:t>
            </w:r>
          </w:p>
        </w:tc>
        <w:tc>
          <w:tcPr>
            <w:tcW w:w="1483" w:type="dxa"/>
            <w:vMerge w:val="restart"/>
            <w:shd w:val="clear" w:color="auto" w:fill="auto"/>
            <w:vAlign w:val="center"/>
          </w:tcPr>
          <w:p w14:paraId="6FD54487">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信息形成之日起20个工作日内</w:t>
            </w:r>
          </w:p>
        </w:tc>
        <w:tc>
          <w:tcPr>
            <w:tcW w:w="1050" w:type="dxa"/>
            <w:vMerge w:val="restart"/>
            <w:shd w:val="clear" w:color="auto" w:fill="auto"/>
            <w:vAlign w:val="center"/>
          </w:tcPr>
          <w:p w14:paraId="7E2964A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住房和城乡建设等相关职能部门</w:t>
            </w:r>
          </w:p>
        </w:tc>
        <w:tc>
          <w:tcPr>
            <w:tcW w:w="2733" w:type="dxa"/>
            <w:vMerge w:val="restart"/>
            <w:shd w:val="clear" w:color="auto" w:fill="auto"/>
            <w:vAlign w:val="center"/>
          </w:tcPr>
          <w:p w14:paraId="1460DA2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政府门户网站、政务新媒体、广播、电视、报纸、公示栏等平台和办事大厅、便民服务窗口等场所</w:t>
            </w:r>
          </w:p>
        </w:tc>
        <w:tc>
          <w:tcPr>
            <w:tcW w:w="750" w:type="dxa"/>
            <w:vMerge w:val="restart"/>
            <w:shd w:val="clear" w:color="auto" w:fill="auto"/>
            <w:vAlign w:val="center"/>
          </w:tcPr>
          <w:p w14:paraId="1EC98BE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vMerge w:val="restart"/>
            <w:shd w:val="clear" w:color="auto" w:fill="auto"/>
            <w:vAlign w:val="center"/>
          </w:tcPr>
          <w:p w14:paraId="12D700A1">
            <w:pPr>
              <w:jc w:val="center"/>
              <w:rPr>
                <w:rFonts w:ascii="仿宋_GB2312" w:hAnsi="仿宋_GB2312" w:eastAsia="仿宋_GB2312" w:cs="仿宋_GB2312"/>
                <w:sz w:val="18"/>
                <w:szCs w:val="18"/>
              </w:rPr>
            </w:pPr>
          </w:p>
        </w:tc>
        <w:tc>
          <w:tcPr>
            <w:tcW w:w="650" w:type="dxa"/>
            <w:vMerge w:val="restart"/>
            <w:shd w:val="clear" w:color="auto" w:fill="auto"/>
            <w:vAlign w:val="center"/>
          </w:tcPr>
          <w:p w14:paraId="02450378">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vMerge w:val="restart"/>
            <w:shd w:val="clear" w:color="auto" w:fill="auto"/>
            <w:vAlign w:val="center"/>
          </w:tcPr>
          <w:p w14:paraId="0C9EE5B2">
            <w:pPr>
              <w:jc w:val="center"/>
              <w:rPr>
                <w:rFonts w:ascii="仿宋_GB2312" w:hAnsi="仿宋_GB2312" w:eastAsia="仿宋_GB2312" w:cs="仿宋_GB2312"/>
                <w:sz w:val="18"/>
                <w:szCs w:val="18"/>
              </w:rPr>
            </w:pPr>
          </w:p>
        </w:tc>
      </w:tr>
      <w:tr w14:paraId="4C00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0" w:type="dxa"/>
            <w:shd w:val="clear" w:color="auto" w:fill="auto"/>
            <w:vAlign w:val="center"/>
          </w:tcPr>
          <w:p w14:paraId="20DAAC46">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716" w:type="dxa"/>
            <w:vMerge w:val="continue"/>
            <w:shd w:val="clear" w:color="auto" w:fill="auto"/>
            <w:vAlign w:val="center"/>
          </w:tcPr>
          <w:p w14:paraId="376BBEBE">
            <w:pPr>
              <w:jc w:val="center"/>
              <w:rPr>
                <w:rFonts w:ascii="仿宋_GB2312" w:hAnsi="仿宋_GB2312" w:eastAsia="仿宋_GB2312" w:cs="仿宋_GB2312"/>
                <w:sz w:val="18"/>
                <w:szCs w:val="18"/>
              </w:rPr>
            </w:pPr>
          </w:p>
        </w:tc>
        <w:tc>
          <w:tcPr>
            <w:tcW w:w="1134" w:type="dxa"/>
            <w:shd w:val="clear" w:color="auto" w:fill="auto"/>
            <w:vAlign w:val="center"/>
          </w:tcPr>
          <w:p w14:paraId="0D4D68B9">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本级政策解读</w:t>
            </w:r>
          </w:p>
        </w:tc>
        <w:tc>
          <w:tcPr>
            <w:tcW w:w="1816" w:type="dxa"/>
            <w:vMerge w:val="continue"/>
            <w:shd w:val="clear" w:color="auto" w:fill="auto"/>
            <w:vAlign w:val="center"/>
          </w:tcPr>
          <w:p w14:paraId="135DC2F1">
            <w:pPr>
              <w:jc w:val="center"/>
              <w:rPr>
                <w:rFonts w:ascii="仿宋_GB2312" w:hAnsi="仿宋_GB2312" w:eastAsia="仿宋_GB2312" w:cs="仿宋_GB2312"/>
                <w:sz w:val="18"/>
                <w:szCs w:val="18"/>
              </w:rPr>
            </w:pPr>
          </w:p>
        </w:tc>
        <w:tc>
          <w:tcPr>
            <w:tcW w:w="2134" w:type="dxa"/>
            <w:vMerge w:val="continue"/>
            <w:shd w:val="clear" w:color="auto" w:fill="auto"/>
            <w:vAlign w:val="center"/>
          </w:tcPr>
          <w:p w14:paraId="55CC69E3">
            <w:pPr>
              <w:jc w:val="center"/>
              <w:rPr>
                <w:rFonts w:ascii="仿宋_GB2312" w:hAnsi="仿宋_GB2312" w:eastAsia="仿宋_GB2312" w:cs="仿宋_GB2312"/>
                <w:sz w:val="18"/>
                <w:szCs w:val="18"/>
              </w:rPr>
            </w:pPr>
          </w:p>
        </w:tc>
        <w:tc>
          <w:tcPr>
            <w:tcW w:w="1483" w:type="dxa"/>
            <w:vMerge w:val="continue"/>
            <w:shd w:val="clear" w:color="auto" w:fill="auto"/>
            <w:vAlign w:val="center"/>
          </w:tcPr>
          <w:p w14:paraId="11C3BCBD">
            <w:pPr>
              <w:jc w:val="center"/>
              <w:rPr>
                <w:rFonts w:ascii="仿宋_GB2312" w:hAnsi="仿宋_GB2312" w:eastAsia="仿宋_GB2312" w:cs="仿宋_GB2312"/>
                <w:sz w:val="18"/>
                <w:szCs w:val="18"/>
              </w:rPr>
            </w:pPr>
          </w:p>
        </w:tc>
        <w:tc>
          <w:tcPr>
            <w:tcW w:w="1050" w:type="dxa"/>
            <w:vMerge w:val="continue"/>
            <w:shd w:val="clear" w:color="auto" w:fill="auto"/>
            <w:vAlign w:val="center"/>
          </w:tcPr>
          <w:p w14:paraId="1F0D4904">
            <w:pPr>
              <w:jc w:val="center"/>
              <w:rPr>
                <w:rFonts w:ascii="仿宋_GB2312" w:hAnsi="仿宋_GB2312" w:eastAsia="仿宋_GB2312" w:cs="仿宋_GB2312"/>
                <w:sz w:val="18"/>
                <w:szCs w:val="18"/>
              </w:rPr>
            </w:pPr>
          </w:p>
        </w:tc>
        <w:tc>
          <w:tcPr>
            <w:tcW w:w="2733" w:type="dxa"/>
            <w:vMerge w:val="continue"/>
            <w:shd w:val="clear" w:color="auto" w:fill="auto"/>
            <w:vAlign w:val="center"/>
          </w:tcPr>
          <w:p w14:paraId="3E954579">
            <w:pPr>
              <w:jc w:val="center"/>
              <w:rPr>
                <w:rFonts w:ascii="仿宋_GB2312" w:hAnsi="仿宋_GB2312" w:eastAsia="仿宋_GB2312" w:cs="仿宋_GB2312"/>
                <w:sz w:val="18"/>
                <w:szCs w:val="18"/>
              </w:rPr>
            </w:pPr>
          </w:p>
        </w:tc>
        <w:tc>
          <w:tcPr>
            <w:tcW w:w="750" w:type="dxa"/>
            <w:vMerge w:val="continue"/>
            <w:shd w:val="clear" w:color="auto" w:fill="auto"/>
            <w:vAlign w:val="center"/>
          </w:tcPr>
          <w:p w14:paraId="4AA48071">
            <w:pPr>
              <w:jc w:val="center"/>
              <w:rPr>
                <w:rFonts w:ascii="仿宋_GB2312" w:hAnsi="仿宋_GB2312" w:eastAsia="仿宋_GB2312" w:cs="仿宋_GB2312"/>
                <w:sz w:val="18"/>
                <w:szCs w:val="18"/>
              </w:rPr>
            </w:pPr>
          </w:p>
        </w:tc>
        <w:tc>
          <w:tcPr>
            <w:tcW w:w="700" w:type="dxa"/>
            <w:vMerge w:val="continue"/>
            <w:shd w:val="clear" w:color="auto" w:fill="auto"/>
            <w:vAlign w:val="center"/>
          </w:tcPr>
          <w:p w14:paraId="72AE8FD6">
            <w:pPr>
              <w:jc w:val="center"/>
              <w:rPr>
                <w:rFonts w:ascii="仿宋_GB2312" w:hAnsi="仿宋_GB2312" w:eastAsia="仿宋_GB2312" w:cs="仿宋_GB2312"/>
                <w:sz w:val="18"/>
                <w:szCs w:val="18"/>
              </w:rPr>
            </w:pPr>
          </w:p>
        </w:tc>
        <w:tc>
          <w:tcPr>
            <w:tcW w:w="650" w:type="dxa"/>
            <w:vMerge w:val="continue"/>
            <w:shd w:val="clear" w:color="auto" w:fill="auto"/>
            <w:vAlign w:val="center"/>
          </w:tcPr>
          <w:p w14:paraId="0E2A9D6C">
            <w:pPr>
              <w:jc w:val="center"/>
              <w:rPr>
                <w:rFonts w:ascii="仿宋_GB2312" w:hAnsi="仿宋_GB2312" w:eastAsia="仿宋_GB2312" w:cs="仿宋_GB2312"/>
                <w:sz w:val="18"/>
                <w:szCs w:val="18"/>
              </w:rPr>
            </w:pPr>
          </w:p>
        </w:tc>
        <w:tc>
          <w:tcPr>
            <w:tcW w:w="700" w:type="dxa"/>
            <w:vMerge w:val="continue"/>
            <w:shd w:val="clear" w:color="auto" w:fill="auto"/>
            <w:vAlign w:val="center"/>
          </w:tcPr>
          <w:p w14:paraId="6DD31BEC">
            <w:pPr>
              <w:jc w:val="center"/>
              <w:rPr>
                <w:rFonts w:ascii="仿宋_GB2312" w:hAnsi="仿宋_GB2312" w:eastAsia="仿宋_GB2312" w:cs="仿宋_GB2312"/>
                <w:sz w:val="18"/>
                <w:szCs w:val="18"/>
              </w:rPr>
            </w:pPr>
          </w:p>
        </w:tc>
      </w:tr>
      <w:tr w14:paraId="4C96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0" w:type="dxa"/>
            <w:shd w:val="clear" w:color="auto" w:fill="auto"/>
            <w:vAlign w:val="center"/>
          </w:tcPr>
          <w:p w14:paraId="39724E1B">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716" w:type="dxa"/>
            <w:vMerge w:val="restart"/>
            <w:shd w:val="clear" w:color="auto" w:fill="auto"/>
            <w:vAlign w:val="center"/>
          </w:tcPr>
          <w:p w14:paraId="341EFCE6">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计划实施</w:t>
            </w:r>
          </w:p>
        </w:tc>
        <w:tc>
          <w:tcPr>
            <w:tcW w:w="1134" w:type="dxa"/>
            <w:shd w:val="clear" w:color="auto" w:fill="auto"/>
            <w:vAlign w:val="center"/>
          </w:tcPr>
          <w:p w14:paraId="624B3F90">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任务分配</w:t>
            </w:r>
          </w:p>
        </w:tc>
        <w:tc>
          <w:tcPr>
            <w:tcW w:w="1816" w:type="dxa"/>
            <w:shd w:val="clear" w:color="auto" w:fill="auto"/>
            <w:vAlign w:val="center"/>
          </w:tcPr>
          <w:p w14:paraId="36DC7E8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及时公开农村危房改造补助农户名单</w:t>
            </w:r>
          </w:p>
        </w:tc>
        <w:tc>
          <w:tcPr>
            <w:tcW w:w="2134" w:type="dxa"/>
            <w:vMerge w:val="restart"/>
            <w:shd w:val="clear" w:color="auto" w:fill="auto"/>
            <w:vAlign w:val="center"/>
          </w:tcPr>
          <w:p w14:paraId="644327B7">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《住房城乡建设部 财政部 国务院扶贫办关于加强和完善建档立卡贫困户等重点对象农村危房改造若干问题的通知》等</w:t>
            </w:r>
          </w:p>
        </w:tc>
        <w:tc>
          <w:tcPr>
            <w:tcW w:w="1483" w:type="dxa"/>
            <w:shd w:val="clear" w:color="auto" w:fill="auto"/>
            <w:vAlign w:val="center"/>
          </w:tcPr>
          <w:p w14:paraId="4990429A">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分配结果确定后20个工作日内</w:t>
            </w:r>
          </w:p>
        </w:tc>
        <w:tc>
          <w:tcPr>
            <w:tcW w:w="1050" w:type="dxa"/>
            <w:shd w:val="clear" w:color="auto" w:fill="auto"/>
            <w:vAlign w:val="center"/>
          </w:tcPr>
          <w:p w14:paraId="6DC699B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住房和城乡建设等相关职能部门</w:t>
            </w:r>
          </w:p>
        </w:tc>
        <w:tc>
          <w:tcPr>
            <w:tcW w:w="2733" w:type="dxa"/>
            <w:shd w:val="clear" w:color="auto" w:fill="auto"/>
            <w:vAlign w:val="center"/>
          </w:tcPr>
          <w:p w14:paraId="161C1C0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办事大厅、公示栏、便民服务窗口等场所</w:t>
            </w:r>
          </w:p>
        </w:tc>
        <w:tc>
          <w:tcPr>
            <w:tcW w:w="750" w:type="dxa"/>
            <w:shd w:val="clear" w:color="auto" w:fill="auto"/>
            <w:vAlign w:val="center"/>
          </w:tcPr>
          <w:p w14:paraId="051BB5EB">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54151951">
            <w:pPr>
              <w:jc w:val="center"/>
              <w:rPr>
                <w:rFonts w:ascii="仿宋_GB2312" w:hAnsi="仿宋_GB2312" w:eastAsia="仿宋_GB2312" w:cs="仿宋_GB2312"/>
                <w:sz w:val="18"/>
                <w:szCs w:val="18"/>
              </w:rPr>
            </w:pPr>
          </w:p>
        </w:tc>
        <w:tc>
          <w:tcPr>
            <w:tcW w:w="650" w:type="dxa"/>
            <w:shd w:val="clear" w:color="auto" w:fill="auto"/>
            <w:vAlign w:val="center"/>
          </w:tcPr>
          <w:p w14:paraId="28E94A40">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65547BFD">
            <w:pPr>
              <w:jc w:val="center"/>
              <w:rPr>
                <w:rFonts w:ascii="仿宋_GB2312" w:hAnsi="仿宋_GB2312" w:eastAsia="仿宋_GB2312" w:cs="仿宋_GB2312"/>
                <w:sz w:val="18"/>
                <w:szCs w:val="18"/>
              </w:rPr>
            </w:pPr>
          </w:p>
        </w:tc>
      </w:tr>
      <w:tr w14:paraId="0BA4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0" w:type="dxa"/>
            <w:shd w:val="clear" w:color="auto" w:fill="auto"/>
            <w:vAlign w:val="center"/>
          </w:tcPr>
          <w:p w14:paraId="4178C74A">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716" w:type="dxa"/>
            <w:vMerge w:val="continue"/>
            <w:shd w:val="clear" w:color="auto" w:fill="auto"/>
            <w:vAlign w:val="center"/>
          </w:tcPr>
          <w:p w14:paraId="3C7C082A">
            <w:pPr>
              <w:jc w:val="center"/>
              <w:rPr>
                <w:rFonts w:ascii="仿宋_GB2312" w:hAnsi="仿宋_GB2312" w:eastAsia="仿宋_GB2312" w:cs="仿宋_GB2312"/>
                <w:sz w:val="18"/>
                <w:szCs w:val="18"/>
              </w:rPr>
            </w:pPr>
          </w:p>
        </w:tc>
        <w:tc>
          <w:tcPr>
            <w:tcW w:w="1134" w:type="dxa"/>
            <w:shd w:val="clear" w:color="auto" w:fill="auto"/>
            <w:vAlign w:val="center"/>
          </w:tcPr>
          <w:p w14:paraId="40B70039">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组织培训</w:t>
            </w:r>
          </w:p>
        </w:tc>
        <w:tc>
          <w:tcPr>
            <w:tcW w:w="1816" w:type="dxa"/>
            <w:shd w:val="clear" w:color="auto" w:fill="auto"/>
            <w:vAlign w:val="center"/>
          </w:tcPr>
          <w:p w14:paraId="67C659C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组织开展农村建筑工匠培训文件</w:t>
            </w:r>
          </w:p>
        </w:tc>
        <w:tc>
          <w:tcPr>
            <w:tcW w:w="2134" w:type="dxa"/>
            <w:vMerge w:val="continue"/>
            <w:shd w:val="clear" w:color="auto" w:fill="auto"/>
            <w:vAlign w:val="center"/>
          </w:tcPr>
          <w:p w14:paraId="3FDB2FDF">
            <w:pPr>
              <w:jc w:val="center"/>
              <w:rPr>
                <w:rFonts w:ascii="仿宋_GB2312" w:hAnsi="仿宋_GB2312" w:eastAsia="仿宋_GB2312" w:cs="仿宋_GB2312"/>
                <w:sz w:val="18"/>
                <w:szCs w:val="18"/>
              </w:rPr>
            </w:pPr>
          </w:p>
        </w:tc>
        <w:tc>
          <w:tcPr>
            <w:tcW w:w="1483" w:type="dxa"/>
            <w:shd w:val="clear" w:color="auto" w:fill="auto"/>
            <w:vAlign w:val="center"/>
          </w:tcPr>
          <w:p w14:paraId="2D1C7A5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信息形成之日起20个工作日内</w:t>
            </w:r>
          </w:p>
        </w:tc>
        <w:tc>
          <w:tcPr>
            <w:tcW w:w="1050" w:type="dxa"/>
            <w:shd w:val="clear" w:color="auto" w:fill="auto"/>
            <w:vAlign w:val="center"/>
          </w:tcPr>
          <w:p w14:paraId="40146CD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住房和城乡建设部门</w:t>
            </w:r>
          </w:p>
        </w:tc>
        <w:tc>
          <w:tcPr>
            <w:tcW w:w="2733" w:type="dxa"/>
            <w:shd w:val="clear" w:color="auto" w:fill="auto"/>
            <w:vAlign w:val="center"/>
          </w:tcPr>
          <w:p w14:paraId="1A93A6F6">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政府门户网站、公示栏等平台和办事大厅、便民服务窗口等场所</w:t>
            </w:r>
          </w:p>
        </w:tc>
        <w:tc>
          <w:tcPr>
            <w:tcW w:w="750" w:type="dxa"/>
            <w:shd w:val="clear" w:color="auto" w:fill="auto"/>
            <w:vAlign w:val="center"/>
          </w:tcPr>
          <w:p w14:paraId="74861FDF">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2458D022">
            <w:pPr>
              <w:jc w:val="center"/>
              <w:rPr>
                <w:rFonts w:ascii="仿宋_GB2312" w:hAnsi="仿宋_GB2312" w:eastAsia="仿宋_GB2312" w:cs="仿宋_GB2312"/>
                <w:sz w:val="18"/>
                <w:szCs w:val="18"/>
              </w:rPr>
            </w:pPr>
          </w:p>
        </w:tc>
        <w:tc>
          <w:tcPr>
            <w:tcW w:w="650" w:type="dxa"/>
            <w:shd w:val="clear" w:color="auto" w:fill="auto"/>
            <w:vAlign w:val="center"/>
          </w:tcPr>
          <w:p w14:paraId="0DDFA4D6">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728CD403">
            <w:pPr>
              <w:jc w:val="center"/>
              <w:rPr>
                <w:rFonts w:ascii="仿宋_GB2312" w:hAnsi="仿宋_GB2312" w:eastAsia="仿宋_GB2312" w:cs="仿宋_GB2312"/>
                <w:sz w:val="18"/>
                <w:szCs w:val="18"/>
              </w:rPr>
            </w:pPr>
          </w:p>
        </w:tc>
      </w:tr>
      <w:tr w14:paraId="3239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0" w:type="dxa"/>
            <w:shd w:val="clear" w:color="auto" w:fill="auto"/>
            <w:vAlign w:val="center"/>
          </w:tcPr>
          <w:p w14:paraId="1687DB5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716" w:type="dxa"/>
            <w:vMerge w:val="restart"/>
            <w:shd w:val="clear" w:color="auto" w:fill="auto"/>
            <w:vAlign w:val="center"/>
          </w:tcPr>
          <w:p w14:paraId="1756C72B">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条件与标准</w:t>
            </w:r>
          </w:p>
        </w:tc>
        <w:tc>
          <w:tcPr>
            <w:tcW w:w="1134" w:type="dxa"/>
            <w:shd w:val="clear" w:color="auto" w:fill="auto"/>
            <w:vAlign w:val="center"/>
          </w:tcPr>
          <w:p w14:paraId="3192660A">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农村危房等级评定标准</w:t>
            </w:r>
          </w:p>
        </w:tc>
        <w:tc>
          <w:tcPr>
            <w:tcW w:w="1816" w:type="dxa"/>
            <w:shd w:val="clear" w:color="auto" w:fill="auto"/>
            <w:vAlign w:val="center"/>
          </w:tcPr>
          <w:p w14:paraId="12B3BC0F">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农村危房等级评定相关标准</w:t>
            </w:r>
          </w:p>
        </w:tc>
        <w:tc>
          <w:tcPr>
            <w:tcW w:w="2134" w:type="dxa"/>
            <w:shd w:val="clear" w:color="auto" w:fill="auto"/>
            <w:vAlign w:val="center"/>
          </w:tcPr>
          <w:p w14:paraId="7FD8F80B">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83" w:type="dxa"/>
            <w:shd w:val="clear" w:color="auto" w:fill="auto"/>
            <w:vAlign w:val="center"/>
          </w:tcPr>
          <w:p w14:paraId="6CD3ADB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信息形成之日起20个工作日内</w:t>
            </w:r>
          </w:p>
        </w:tc>
        <w:tc>
          <w:tcPr>
            <w:tcW w:w="1050" w:type="dxa"/>
            <w:shd w:val="clear" w:color="auto" w:fill="auto"/>
            <w:vAlign w:val="center"/>
          </w:tcPr>
          <w:p w14:paraId="7B828E2A">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住房和城乡建设部门</w:t>
            </w:r>
          </w:p>
        </w:tc>
        <w:tc>
          <w:tcPr>
            <w:tcW w:w="2733" w:type="dxa"/>
            <w:shd w:val="clear" w:color="auto" w:fill="auto"/>
            <w:vAlign w:val="center"/>
          </w:tcPr>
          <w:p w14:paraId="52CCE576">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政府门户网站、公示栏等平台和办事大厅、便民服务窗口等场所</w:t>
            </w:r>
          </w:p>
        </w:tc>
        <w:tc>
          <w:tcPr>
            <w:tcW w:w="750" w:type="dxa"/>
            <w:shd w:val="clear" w:color="auto" w:fill="auto"/>
            <w:vAlign w:val="center"/>
          </w:tcPr>
          <w:p w14:paraId="37EBF8B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5AF166E6">
            <w:pPr>
              <w:jc w:val="center"/>
              <w:rPr>
                <w:rFonts w:ascii="仿宋_GB2312" w:hAnsi="仿宋_GB2312" w:eastAsia="仿宋_GB2312" w:cs="仿宋_GB2312"/>
                <w:sz w:val="18"/>
                <w:szCs w:val="18"/>
              </w:rPr>
            </w:pPr>
          </w:p>
        </w:tc>
        <w:tc>
          <w:tcPr>
            <w:tcW w:w="650" w:type="dxa"/>
            <w:shd w:val="clear" w:color="auto" w:fill="auto"/>
            <w:vAlign w:val="center"/>
          </w:tcPr>
          <w:p w14:paraId="315B2FCA">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6099D57F">
            <w:pPr>
              <w:jc w:val="center"/>
              <w:rPr>
                <w:rFonts w:ascii="仿宋_GB2312" w:hAnsi="仿宋_GB2312" w:eastAsia="仿宋_GB2312" w:cs="仿宋_GB2312"/>
                <w:sz w:val="18"/>
                <w:szCs w:val="18"/>
              </w:rPr>
            </w:pPr>
          </w:p>
        </w:tc>
      </w:tr>
      <w:tr w14:paraId="62C8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0" w:type="dxa"/>
            <w:shd w:val="clear" w:color="auto" w:fill="auto"/>
            <w:vAlign w:val="center"/>
          </w:tcPr>
          <w:p w14:paraId="16479714">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716" w:type="dxa"/>
            <w:vMerge w:val="continue"/>
            <w:shd w:val="clear" w:color="auto" w:fill="auto"/>
            <w:vAlign w:val="center"/>
          </w:tcPr>
          <w:p w14:paraId="772DE441">
            <w:pPr>
              <w:jc w:val="center"/>
              <w:rPr>
                <w:rFonts w:ascii="仿宋_GB2312" w:hAnsi="仿宋_GB2312" w:eastAsia="仿宋_GB2312" w:cs="仿宋_GB2312"/>
                <w:sz w:val="18"/>
                <w:szCs w:val="18"/>
              </w:rPr>
            </w:pPr>
          </w:p>
        </w:tc>
        <w:tc>
          <w:tcPr>
            <w:tcW w:w="1134" w:type="dxa"/>
            <w:shd w:val="clear" w:color="auto" w:fill="auto"/>
            <w:vAlign w:val="center"/>
          </w:tcPr>
          <w:p w14:paraId="2B26936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农村危房改造对象申请条件</w:t>
            </w:r>
          </w:p>
        </w:tc>
        <w:tc>
          <w:tcPr>
            <w:tcW w:w="1816" w:type="dxa"/>
            <w:shd w:val="clear" w:color="auto" w:fill="auto"/>
            <w:vAlign w:val="center"/>
          </w:tcPr>
          <w:p w14:paraId="05034A89">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农村危房改造农户申请条件</w:t>
            </w:r>
          </w:p>
        </w:tc>
        <w:tc>
          <w:tcPr>
            <w:tcW w:w="2134" w:type="dxa"/>
            <w:shd w:val="clear" w:color="auto" w:fill="auto"/>
            <w:vAlign w:val="center"/>
          </w:tcPr>
          <w:p w14:paraId="174F25F5">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同上</w:t>
            </w:r>
          </w:p>
        </w:tc>
        <w:tc>
          <w:tcPr>
            <w:tcW w:w="1483" w:type="dxa"/>
            <w:shd w:val="clear" w:color="auto" w:fill="auto"/>
            <w:vAlign w:val="center"/>
          </w:tcPr>
          <w:p w14:paraId="33AEBE70">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信息形成之日起20个工作日内</w:t>
            </w:r>
          </w:p>
        </w:tc>
        <w:tc>
          <w:tcPr>
            <w:tcW w:w="1050" w:type="dxa"/>
            <w:shd w:val="clear" w:color="auto" w:fill="auto"/>
            <w:vAlign w:val="center"/>
          </w:tcPr>
          <w:p w14:paraId="464B276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住房和城乡建设等相关职能部门</w:t>
            </w:r>
          </w:p>
        </w:tc>
        <w:tc>
          <w:tcPr>
            <w:tcW w:w="2733" w:type="dxa"/>
            <w:shd w:val="clear" w:color="auto" w:fill="auto"/>
            <w:vAlign w:val="center"/>
          </w:tcPr>
          <w:p w14:paraId="51A889CC">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政府门户网站、公示栏等平台和办事大厅、便民服务窗口等场所</w:t>
            </w:r>
          </w:p>
        </w:tc>
        <w:tc>
          <w:tcPr>
            <w:tcW w:w="750" w:type="dxa"/>
            <w:shd w:val="clear" w:color="auto" w:fill="auto"/>
            <w:vAlign w:val="center"/>
          </w:tcPr>
          <w:p w14:paraId="7CDA5E3C">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65D32A4D">
            <w:pPr>
              <w:jc w:val="center"/>
              <w:rPr>
                <w:rFonts w:ascii="仿宋_GB2312" w:hAnsi="仿宋_GB2312" w:eastAsia="仿宋_GB2312" w:cs="仿宋_GB2312"/>
                <w:sz w:val="18"/>
                <w:szCs w:val="18"/>
              </w:rPr>
            </w:pPr>
          </w:p>
        </w:tc>
        <w:tc>
          <w:tcPr>
            <w:tcW w:w="650" w:type="dxa"/>
            <w:shd w:val="clear" w:color="auto" w:fill="auto"/>
            <w:vAlign w:val="center"/>
          </w:tcPr>
          <w:p w14:paraId="67434A7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41790CA0">
            <w:pPr>
              <w:jc w:val="center"/>
              <w:rPr>
                <w:rFonts w:ascii="仿宋_GB2312" w:hAnsi="仿宋_GB2312" w:eastAsia="仿宋_GB2312" w:cs="仿宋_GB2312"/>
                <w:sz w:val="18"/>
                <w:szCs w:val="18"/>
              </w:rPr>
            </w:pPr>
          </w:p>
        </w:tc>
      </w:tr>
      <w:tr w14:paraId="7DBB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0" w:type="dxa"/>
            <w:shd w:val="clear" w:color="auto" w:fill="auto"/>
            <w:vAlign w:val="center"/>
          </w:tcPr>
          <w:p w14:paraId="1B9BCE6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716" w:type="dxa"/>
            <w:vMerge w:val="restart"/>
            <w:shd w:val="clear" w:color="auto" w:fill="auto"/>
            <w:vAlign w:val="center"/>
          </w:tcPr>
          <w:p w14:paraId="23E5ABE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条件与标准</w:t>
            </w:r>
          </w:p>
        </w:tc>
        <w:tc>
          <w:tcPr>
            <w:tcW w:w="1134" w:type="dxa"/>
            <w:shd w:val="clear" w:color="auto" w:fill="auto"/>
            <w:vAlign w:val="center"/>
          </w:tcPr>
          <w:p w14:paraId="2EF1A99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农村危房改造资金补助标准</w:t>
            </w:r>
          </w:p>
        </w:tc>
        <w:tc>
          <w:tcPr>
            <w:tcW w:w="1816" w:type="dxa"/>
            <w:shd w:val="clear" w:color="auto" w:fill="auto"/>
            <w:vAlign w:val="center"/>
          </w:tcPr>
          <w:p w14:paraId="48EFFF18">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农村危房改造资金补助标准</w:t>
            </w:r>
          </w:p>
        </w:tc>
        <w:tc>
          <w:tcPr>
            <w:tcW w:w="2134" w:type="dxa"/>
            <w:shd w:val="clear" w:color="auto" w:fill="auto"/>
            <w:vAlign w:val="center"/>
          </w:tcPr>
          <w:p w14:paraId="11333996">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同上</w:t>
            </w:r>
          </w:p>
        </w:tc>
        <w:tc>
          <w:tcPr>
            <w:tcW w:w="1483" w:type="dxa"/>
            <w:shd w:val="clear" w:color="auto" w:fill="auto"/>
            <w:vAlign w:val="center"/>
          </w:tcPr>
          <w:p w14:paraId="2919081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信息形成之日起20个工作日内</w:t>
            </w:r>
          </w:p>
        </w:tc>
        <w:tc>
          <w:tcPr>
            <w:tcW w:w="1050" w:type="dxa"/>
            <w:shd w:val="clear" w:color="auto" w:fill="auto"/>
            <w:vAlign w:val="center"/>
          </w:tcPr>
          <w:p w14:paraId="492B8F07">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住房和城乡建设部门、财政等部门</w:t>
            </w:r>
          </w:p>
        </w:tc>
        <w:tc>
          <w:tcPr>
            <w:tcW w:w="2733" w:type="dxa"/>
            <w:shd w:val="clear" w:color="auto" w:fill="auto"/>
            <w:vAlign w:val="center"/>
          </w:tcPr>
          <w:p w14:paraId="0A8F93CB">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政府门户网站、公示栏等平台和办事大厅、便民服务窗口等场所</w:t>
            </w:r>
          </w:p>
        </w:tc>
        <w:tc>
          <w:tcPr>
            <w:tcW w:w="750" w:type="dxa"/>
            <w:shd w:val="clear" w:color="auto" w:fill="auto"/>
            <w:vAlign w:val="center"/>
          </w:tcPr>
          <w:p w14:paraId="2CB65524">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4F7DE161">
            <w:pPr>
              <w:jc w:val="center"/>
              <w:rPr>
                <w:rFonts w:ascii="仿宋_GB2312" w:hAnsi="仿宋_GB2312" w:eastAsia="仿宋_GB2312" w:cs="仿宋_GB2312"/>
                <w:sz w:val="18"/>
                <w:szCs w:val="18"/>
              </w:rPr>
            </w:pPr>
          </w:p>
        </w:tc>
        <w:tc>
          <w:tcPr>
            <w:tcW w:w="650" w:type="dxa"/>
            <w:shd w:val="clear" w:color="auto" w:fill="auto"/>
            <w:vAlign w:val="center"/>
          </w:tcPr>
          <w:p w14:paraId="21F73AB8">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7494A792">
            <w:pPr>
              <w:jc w:val="center"/>
              <w:rPr>
                <w:rFonts w:ascii="仿宋_GB2312" w:hAnsi="仿宋_GB2312" w:eastAsia="仿宋_GB2312" w:cs="仿宋_GB2312"/>
                <w:sz w:val="18"/>
                <w:szCs w:val="18"/>
              </w:rPr>
            </w:pPr>
          </w:p>
        </w:tc>
      </w:tr>
      <w:tr w14:paraId="63FB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0" w:type="dxa"/>
            <w:shd w:val="clear" w:color="auto" w:fill="auto"/>
            <w:vAlign w:val="center"/>
          </w:tcPr>
          <w:p w14:paraId="24A2585C">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9</w:t>
            </w:r>
          </w:p>
        </w:tc>
        <w:tc>
          <w:tcPr>
            <w:tcW w:w="716" w:type="dxa"/>
            <w:vMerge w:val="continue"/>
            <w:shd w:val="clear" w:color="auto" w:fill="auto"/>
            <w:vAlign w:val="center"/>
          </w:tcPr>
          <w:p w14:paraId="64302136">
            <w:pPr>
              <w:jc w:val="center"/>
              <w:rPr>
                <w:rFonts w:ascii="仿宋_GB2312" w:hAnsi="仿宋_GB2312" w:eastAsia="仿宋_GB2312" w:cs="仿宋_GB2312"/>
                <w:sz w:val="18"/>
                <w:szCs w:val="18"/>
              </w:rPr>
            </w:pPr>
          </w:p>
        </w:tc>
        <w:tc>
          <w:tcPr>
            <w:tcW w:w="1134" w:type="dxa"/>
            <w:shd w:val="clear" w:color="auto" w:fill="auto"/>
            <w:vAlign w:val="center"/>
          </w:tcPr>
          <w:p w14:paraId="79064E05">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农村危房改造竣工合格标准</w:t>
            </w:r>
          </w:p>
        </w:tc>
        <w:tc>
          <w:tcPr>
            <w:tcW w:w="1816" w:type="dxa"/>
            <w:shd w:val="clear" w:color="auto" w:fill="auto"/>
            <w:vAlign w:val="center"/>
          </w:tcPr>
          <w:p w14:paraId="3749D4EB">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农村危房改造竣工验收要求</w:t>
            </w:r>
          </w:p>
        </w:tc>
        <w:tc>
          <w:tcPr>
            <w:tcW w:w="2134" w:type="dxa"/>
            <w:shd w:val="clear" w:color="auto" w:fill="auto"/>
            <w:vAlign w:val="center"/>
          </w:tcPr>
          <w:p w14:paraId="67806174">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同上</w:t>
            </w:r>
          </w:p>
        </w:tc>
        <w:tc>
          <w:tcPr>
            <w:tcW w:w="1483" w:type="dxa"/>
            <w:shd w:val="clear" w:color="auto" w:fill="auto"/>
            <w:vAlign w:val="center"/>
          </w:tcPr>
          <w:p w14:paraId="20E2051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信息形成之日起20个工作日内</w:t>
            </w:r>
          </w:p>
        </w:tc>
        <w:tc>
          <w:tcPr>
            <w:tcW w:w="1050" w:type="dxa"/>
            <w:shd w:val="clear" w:color="auto" w:fill="auto"/>
            <w:vAlign w:val="center"/>
          </w:tcPr>
          <w:p w14:paraId="0E349EF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住房和城乡建设部门</w:t>
            </w:r>
          </w:p>
        </w:tc>
        <w:tc>
          <w:tcPr>
            <w:tcW w:w="2733" w:type="dxa"/>
            <w:shd w:val="clear" w:color="auto" w:fill="auto"/>
            <w:vAlign w:val="center"/>
          </w:tcPr>
          <w:p w14:paraId="74467F3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政府门户网站、公示栏等平台和办事大厅、便民服务窗口等场所</w:t>
            </w:r>
          </w:p>
        </w:tc>
        <w:tc>
          <w:tcPr>
            <w:tcW w:w="750" w:type="dxa"/>
            <w:shd w:val="clear" w:color="auto" w:fill="auto"/>
            <w:vAlign w:val="center"/>
          </w:tcPr>
          <w:p w14:paraId="583ED0A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526CE091">
            <w:pPr>
              <w:jc w:val="center"/>
              <w:rPr>
                <w:rFonts w:ascii="仿宋_GB2312" w:hAnsi="仿宋_GB2312" w:eastAsia="仿宋_GB2312" w:cs="仿宋_GB2312"/>
                <w:sz w:val="18"/>
                <w:szCs w:val="18"/>
              </w:rPr>
            </w:pPr>
          </w:p>
        </w:tc>
        <w:tc>
          <w:tcPr>
            <w:tcW w:w="650" w:type="dxa"/>
            <w:shd w:val="clear" w:color="auto" w:fill="auto"/>
            <w:vAlign w:val="center"/>
          </w:tcPr>
          <w:p w14:paraId="09466D6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5BEB5E41">
            <w:pPr>
              <w:jc w:val="center"/>
              <w:rPr>
                <w:rFonts w:ascii="仿宋_GB2312" w:hAnsi="仿宋_GB2312" w:eastAsia="仿宋_GB2312" w:cs="仿宋_GB2312"/>
                <w:sz w:val="18"/>
                <w:szCs w:val="18"/>
              </w:rPr>
            </w:pPr>
          </w:p>
        </w:tc>
      </w:tr>
      <w:tr w14:paraId="29AE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0" w:type="dxa"/>
            <w:shd w:val="clear" w:color="auto" w:fill="auto"/>
            <w:vAlign w:val="center"/>
          </w:tcPr>
          <w:p w14:paraId="5A12AFF0">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716" w:type="dxa"/>
            <w:vMerge w:val="restart"/>
            <w:shd w:val="clear" w:color="auto" w:fill="auto"/>
            <w:vAlign w:val="center"/>
          </w:tcPr>
          <w:p w14:paraId="36816C0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对象认定</w:t>
            </w:r>
          </w:p>
        </w:tc>
        <w:tc>
          <w:tcPr>
            <w:tcW w:w="1134" w:type="dxa"/>
            <w:shd w:val="clear" w:color="auto" w:fill="auto"/>
            <w:vAlign w:val="center"/>
          </w:tcPr>
          <w:p w14:paraId="21D2F1F9">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危改户认定程序</w:t>
            </w:r>
          </w:p>
        </w:tc>
        <w:tc>
          <w:tcPr>
            <w:tcW w:w="1816" w:type="dxa"/>
            <w:shd w:val="clear" w:color="auto" w:fill="auto"/>
            <w:vAlign w:val="center"/>
          </w:tcPr>
          <w:p w14:paraId="7F87BDDF">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农村危房改造申请程序</w:t>
            </w:r>
          </w:p>
        </w:tc>
        <w:tc>
          <w:tcPr>
            <w:tcW w:w="2134" w:type="dxa"/>
            <w:shd w:val="clear" w:color="auto" w:fill="auto"/>
            <w:vAlign w:val="center"/>
          </w:tcPr>
          <w:p w14:paraId="09B35BC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同上</w:t>
            </w:r>
          </w:p>
        </w:tc>
        <w:tc>
          <w:tcPr>
            <w:tcW w:w="1483" w:type="dxa"/>
            <w:shd w:val="clear" w:color="auto" w:fill="auto"/>
            <w:vAlign w:val="center"/>
          </w:tcPr>
          <w:p w14:paraId="4DA6D30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信息形成之日起20个工作日内</w:t>
            </w:r>
          </w:p>
        </w:tc>
        <w:tc>
          <w:tcPr>
            <w:tcW w:w="1050" w:type="dxa"/>
            <w:shd w:val="clear" w:color="auto" w:fill="auto"/>
            <w:vAlign w:val="center"/>
          </w:tcPr>
          <w:p w14:paraId="732233DB">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县级住房和城乡建设部门</w:t>
            </w:r>
          </w:p>
        </w:tc>
        <w:tc>
          <w:tcPr>
            <w:tcW w:w="2733" w:type="dxa"/>
            <w:shd w:val="clear" w:color="auto" w:fill="auto"/>
            <w:vAlign w:val="center"/>
          </w:tcPr>
          <w:p w14:paraId="16EEBCB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政府门户网站、公示栏等平台和办事大厅、便民服务窗口等场所</w:t>
            </w:r>
          </w:p>
        </w:tc>
        <w:tc>
          <w:tcPr>
            <w:tcW w:w="750" w:type="dxa"/>
            <w:shd w:val="clear" w:color="auto" w:fill="auto"/>
            <w:vAlign w:val="center"/>
          </w:tcPr>
          <w:p w14:paraId="2D3B97A6">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4808BF52">
            <w:pPr>
              <w:jc w:val="center"/>
              <w:rPr>
                <w:rFonts w:ascii="仿宋_GB2312" w:hAnsi="仿宋_GB2312" w:eastAsia="仿宋_GB2312" w:cs="仿宋_GB2312"/>
                <w:sz w:val="18"/>
                <w:szCs w:val="18"/>
              </w:rPr>
            </w:pPr>
          </w:p>
        </w:tc>
        <w:tc>
          <w:tcPr>
            <w:tcW w:w="650" w:type="dxa"/>
            <w:shd w:val="clear" w:color="auto" w:fill="auto"/>
            <w:vAlign w:val="center"/>
          </w:tcPr>
          <w:p w14:paraId="5BB4635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324E154C">
            <w:pPr>
              <w:jc w:val="center"/>
              <w:rPr>
                <w:rFonts w:ascii="仿宋_GB2312" w:hAnsi="仿宋_GB2312" w:eastAsia="仿宋_GB2312" w:cs="仿宋_GB2312"/>
                <w:sz w:val="18"/>
                <w:szCs w:val="18"/>
              </w:rPr>
            </w:pPr>
          </w:p>
        </w:tc>
      </w:tr>
      <w:tr w14:paraId="459D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0" w:type="dxa"/>
            <w:shd w:val="clear" w:color="auto" w:fill="auto"/>
            <w:vAlign w:val="center"/>
          </w:tcPr>
          <w:p w14:paraId="230398E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w:t>
            </w:r>
          </w:p>
        </w:tc>
        <w:tc>
          <w:tcPr>
            <w:tcW w:w="716" w:type="dxa"/>
            <w:vMerge w:val="continue"/>
            <w:shd w:val="clear" w:color="auto" w:fill="auto"/>
            <w:vAlign w:val="center"/>
          </w:tcPr>
          <w:p w14:paraId="59542A1A">
            <w:pPr>
              <w:jc w:val="center"/>
              <w:rPr>
                <w:rFonts w:ascii="仿宋_GB2312" w:hAnsi="仿宋_GB2312" w:eastAsia="仿宋_GB2312" w:cs="仿宋_GB2312"/>
                <w:sz w:val="18"/>
                <w:szCs w:val="18"/>
              </w:rPr>
            </w:pPr>
          </w:p>
        </w:tc>
        <w:tc>
          <w:tcPr>
            <w:tcW w:w="1134" w:type="dxa"/>
            <w:shd w:val="clear" w:color="auto" w:fill="auto"/>
            <w:vAlign w:val="center"/>
          </w:tcPr>
          <w:p w14:paraId="0B1CAC06">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认定结果</w:t>
            </w:r>
          </w:p>
        </w:tc>
        <w:tc>
          <w:tcPr>
            <w:tcW w:w="1816" w:type="dxa"/>
            <w:shd w:val="clear" w:color="auto" w:fill="auto"/>
            <w:vAlign w:val="center"/>
          </w:tcPr>
          <w:p w14:paraId="65E5718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认定结果</w:t>
            </w:r>
          </w:p>
        </w:tc>
        <w:tc>
          <w:tcPr>
            <w:tcW w:w="2134" w:type="dxa"/>
            <w:shd w:val="clear" w:color="auto" w:fill="auto"/>
            <w:vAlign w:val="center"/>
          </w:tcPr>
          <w:p w14:paraId="5B94A79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同上</w:t>
            </w:r>
          </w:p>
        </w:tc>
        <w:tc>
          <w:tcPr>
            <w:tcW w:w="1483" w:type="dxa"/>
            <w:shd w:val="clear" w:color="auto" w:fill="auto"/>
            <w:vAlign w:val="center"/>
          </w:tcPr>
          <w:p w14:paraId="1F939710">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信息形成之日起20个工作日内</w:t>
            </w:r>
          </w:p>
        </w:tc>
        <w:tc>
          <w:tcPr>
            <w:tcW w:w="1050" w:type="dxa"/>
            <w:shd w:val="clear" w:color="auto" w:fill="auto"/>
            <w:vAlign w:val="center"/>
          </w:tcPr>
          <w:p w14:paraId="642944AF">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乡镇人民政府、村委会</w:t>
            </w:r>
          </w:p>
        </w:tc>
        <w:tc>
          <w:tcPr>
            <w:tcW w:w="2733" w:type="dxa"/>
            <w:shd w:val="clear" w:color="auto" w:fill="auto"/>
            <w:vAlign w:val="center"/>
          </w:tcPr>
          <w:p w14:paraId="49D1554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办事大厅、公示栏、便民服务窗口等场所</w:t>
            </w:r>
          </w:p>
        </w:tc>
        <w:tc>
          <w:tcPr>
            <w:tcW w:w="750" w:type="dxa"/>
            <w:shd w:val="clear" w:color="auto" w:fill="auto"/>
            <w:vAlign w:val="center"/>
          </w:tcPr>
          <w:p w14:paraId="1C316DB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0028B26A">
            <w:pPr>
              <w:jc w:val="center"/>
              <w:rPr>
                <w:rFonts w:ascii="仿宋_GB2312" w:hAnsi="仿宋_GB2312" w:eastAsia="仿宋_GB2312" w:cs="仿宋_GB2312"/>
                <w:sz w:val="18"/>
                <w:szCs w:val="18"/>
              </w:rPr>
            </w:pPr>
          </w:p>
        </w:tc>
        <w:tc>
          <w:tcPr>
            <w:tcW w:w="650" w:type="dxa"/>
            <w:shd w:val="clear" w:color="auto" w:fill="auto"/>
            <w:vAlign w:val="center"/>
          </w:tcPr>
          <w:p w14:paraId="5D7A6CC5">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103F22F1">
            <w:pPr>
              <w:jc w:val="center"/>
              <w:rPr>
                <w:rFonts w:ascii="仿宋_GB2312" w:hAnsi="仿宋_GB2312" w:eastAsia="仿宋_GB2312" w:cs="仿宋_GB2312"/>
                <w:sz w:val="18"/>
                <w:szCs w:val="18"/>
              </w:rPr>
            </w:pPr>
          </w:p>
        </w:tc>
      </w:tr>
      <w:tr w14:paraId="5EE5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0" w:type="dxa"/>
            <w:shd w:val="clear" w:color="auto" w:fill="auto"/>
            <w:vAlign w:val="center"/>
          </w:tcPr>
          <w:p w14:paraId="623867D0">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716" w:type="dxa"/>
            <w:shd w:val="clear" w:color="auto" w:fill="auto"/>
            <w:vAlign w:val="center"/>
          </w:tcPr>
          <w:p w14:paraId="3743D4D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预算管理</w:t>
            </w:r>
          </w:p>
        </w:tc>
        <w:tc>
          <w:tcPr>
            <w:tcW w:w="1134" w:type="dxa"/>
            <w:shd w:val="clear" w:color="auto" w:fill="auto"/>
            <w:vAlign w:val="center"/>
          </w:tcPr>
          <w:p w14:paraId="10961089">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预算编制和执行情况</w:t>
            </w:r>
          </w:p>
        </w:tc>
        <w:tc>
          <w:tcPr>
            <w:tcW w:w="1816" w:type="dxa"/>
            <w:shd w:val="clear" w:color="auto" w:fill="auto"/>
            <w:vAlign w:val="center"/>
          </w:tcPr>
          <w:p w14:paraId="7FD839F5">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预算、预算调整、决算、预算执行情况的报告及报表有关内容，部门预算、决算及报表有关内容</w:t>
            </w:r>
          </w:p>
        </w:tc>
        <w:tc>
          <w:tcPr>
            <w:tcW w:w="2134" w:type="dxa"/>
            <w:shd w:val="clear" w:color="auto" w:fill="auto"/>
            <w:vAlign w:val="center"/>
          </w:tcPr>
          <w:p w14:paraId="4AE3555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同上</w:t>
            </w:r>
          </w:p>
        </w:tc>
        <w:tc>
          <w:tcPr>
            <w:tcW w:w="1483" w:type="dxa"/>
            <w:shd w:val="clear" w:color="auto" w:fill="auto"/>
            <w:vAlign w:val="center"/>
          </w:tcPr>
          <w:p w14:paraId="23EE7599">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经县级人民代表大会、人民代表大会常务委员会批准或财政部门批复后20日内</w:t>
            </w:r>
          </w:p>
        </w:tc>
        <w:tc>
          <w:tcPr>
            <w:tcW w:w="1050" w:type="dxa"/>
            <w:shd w:val="clear" w:color="auto" w:fill="auto"/>
            <w:vAlign w:val="center"/>
          </w:tcPr>
          <w:p w14:paraId="2D0DA08A">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县级财政、住房和城乡建设部门</w:t>
            </w:r>
          </w:p>
        </w:tc>
        <w:tc>
          <w:tcPr>
            <w:tcW w:w="2733" w:type="dxa"/>
            <w:shd w:val="clear" w:color="auto" w:fill="auto"/>
            <w:vAlign w:val="center"/>
          </w:tcPr>
          <w:p w14:paraId="7267DC2F">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办事大厅、公示栏、便民服务窗口等场所</w:t>
            </w:r>
          </w:p>
        </w:tc>
        <w:tc>
          <w:tcPr>
            <w:tcW w:w="750" w:type="dxa"/>
            <w:shd w:val="clear" w:color="auto" w:fill="auto"/>
            <w:vAlign w:val="center"/>
          </w:tcPr>
          <w:p w14:paraId="33CB446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4D6A9617">
            <w:pPr>
              <w:jc w:val="center"/>
              <w:rPr>
                <w:rFonts w:ascii="仿宋_GB2312" w:hAnsi="仿宋_GB2312" w:eastAsia="仿宋_GB2312" w:cs="仿宋_GB2312"/>
                <w:sz w:val="18"/>
                <w:szCs w:val="18"/>
              </w:rPr>
            </w:pPr>
          </w:p>
        </w:tc>
        <w:tc>
          <w:tcPr>
            <w:tcW w:w="650" w:type="dxa"/>
            <w:shd w:val="clear" w:color="auto" w:fill="auto"/>
            <w:vAlign w:val="center"/>
          </w:tcPr>
          <w:p w14:paraId="460EB240">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72E128ED">
            <w:pPr>
              <w:jc w:val="center"/>
              <w:rPr>
                <w:rFonts w:ascii="仿宋_GB2312" w:hAnsi="仿宋_GB2312" w:eastAsia="仿宋_GB2312" w:cs="仿宋_GB2312"/>
                <w:sz w:val="18"/>
                <w:szCs w:val="18"/>
              </w:rPr>
            </w:pPr>
          </w:p>
        </w:tc>
      </w:tr>
      <w:tr w14:paraId="7CD8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0" w:type="dxa"/>
            <w:shd w:val="clear" w:color="auto" w:fill="auto"/>
            <w:vAlign w:val="center"/>
          </w:tcPr>
          <w:p w14:paraId="114E88BB">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13</w:t>
            </w:r>
          </w:p>
        </w:tc>
        <w:tc>
          <w:tcPr>
            <w:tcW w:w="716" w:type="dxa"/>
            <w:shd w:val="clear" w:color="auto" w:fill="auto"/>
            <w:vAlign w:val="center"/>
          </w:tcPr>
          <w:p w14:paraId="0808BF5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决策部署</w:t>
            </w:r>
          </w:p>
        </w:tc>
        <w:tc>
          <w:tcPr>
            <w:tcW w:w="1134" w:type="dxa"/>
            <w:shd w:val="clear" w:color="auto" w:fill="auto"/>
            <w:vAlign w:val="center"/>
          </w:tcPr>
          <w:p w14:paraId="2180C72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决策部署落实情况</w:t>
            </w:r>
          </w:p>
        </w:tc>
        <w:tc>
          <w:tcPr>
            <w:tcW w:w="1816" w:type="dxa"/>
            <w:shd w:val="clear" w:color="auto" w:fill="auto"/>
            <w:vAlign w:val="center"/>
          </w:tcPr>
          <w:p w14:paraId="7BCA644D">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决策部署落实情况等</w:t>
            </w:r>
          </w:p>
        </w:tc>
        <w:tc>
          <w:tcPr>
            <w:tcW w:w="2134" w:type="dxa"/>
            <w:vMerge w:val="restart"/>
            <w:shd w:val="clear" w:color="auto" w:fill="auto"/>
            <w:vAlign w:val="center"/>
          </w:tcPr>
          <w:p w14:paraId="7EB479A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《关于全面推进政务公开工作的意见》及其实施细则</w:t>
            </w:r>
          </w:p>
        </w:tc>
        <w:tc>
          <w:tcPr>
            <w:tcW w:w="1483" w:type="dxa"/>
            <w:shd w:val="clear" w:color="auto" w:fill="auto"/>
            <w:vAlign w:val="center"/>
          </w:tcPr>
          <w:p w14:paraId="25480D3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信息形成之日起20个工作日内</w:t>
            </w:r>
          </w:p>
        </w:tc>
        <w:tc>
          <w:tcPr>
            <w:tcW w:w="1050" w:type="dxa"/>
            <w:shd w:val="clear" w:color="auto" w:fill="auto"/>
            <w:vAlign w:val="center"/>
          </w:tcPr>
          <w:p w14:paraId="5A2D664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住房和城乡建设部门</w:t>
            </w:r>
          </w:p>
        </w:tc>
        <w:tc>
          <w:tcPr>
            <w:tcW w:w="2733" w:type="dxa"/>
            <w:shd w:val="clear" w:color="auto" w:fill="auto"/>
            <w:vAlign w:val="center"/>
          </w:tcPr>
          <w:p w14:paraId="110E56C0">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办事大厅、公示栏、便民服务窗口等场所</w:t>
            </w:r>
          </w:p>
        </w:tc>
        <w:tc>
          <w:tcPr>
            <w:tcW w:w="750" w:type="dxa"/>
            <w:shd w:val="clear" w:color="auto" w:fill="auto"/>
            <w:vAlign w:val="center"/>
          </w:tcPr>
          <w:p w14:paraId="50D9FFAA">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7647FE01">
            <w:pPr>
              <w:jc w:val="center"/>
              <w:rPr>
                <w:rFonts w:ascii="仿宋_GB2312" w:hAnsi="仿宋_GB2312" w:eastAsia="仿宋_GB2312" w:cs="仿宋_GB2312"/>
                <w:sz w:val="18"/>
                <w:szCs w:val="18"/>
              </w:rPr>
            </w:pPr>
          </w:p>
        </w:tc>
        <w:tc>
          <w:tcPr>
            <w:tcW w:w="650" w:type="dxa"/>
            <w:shd w:val="clear" w:color="auto" w:fill="auto"/>
            <w:vAlign w:val="center"/>
          </w:tcPr>
          <w:p w14:paraId="38EAD8C7">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2C1A14E8">
            <w:pPr>
              <w:jc w:val="center"/>
              <w:rPr>
                <w:rFonts w:ascii="仿宋_GB2312" w:hAnsi="仿宋_GB2312" w:eastAsia="仿宋_GB2312" w:cs="仿宋_GB2312"/>
                <w:sz w:val="18"/>
                <w:szCs w:val="18"/>
              </w:rPr>
            </w:pPr>
          </w:p>
        </w:tc>
      </w:tr>
      <w:tr w14:paraId="5F14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0" w:type="dxa"/>
            <w:shd w:val="clear" w:color="auto" w:fill="auto"/>
            <w:vAlign w:val="center"/>
          </w:tcPr>
          <w:p w14:paraId="2AA0658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14</w:t>
            </w:r>
          </w:p>
        </w:tc>
        <w:tc>
          <w:tcPr>
            <w:tcW w:w="716" w:type="dxa"/>
            <w:shd w:val="clear" w:color="auto" w:fill="auto"/>
            <w:vAlign w:val="center"/>
          </w:tcPr>
          <w:p w14:paraId="255D76A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年度任务实施</w:t>
            </w:r>
          </w:p>
        </w:tc>
        <w:tc>
          <w:tcPr>
            <w:tcW w:w="1134" w:type="dxa"/>
            <w:shd w:val="clear" w:color="auto" w:fill="auto"/>
            <w:vAlign w:val="center"/>
          </w:tcPr>
          <w:p w14:paraId="0292FF24">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年度任务执行情况</w:t>
            </w:r>
          </w:p>
        </w:tc>
        <w:tc>
          <w:tcPr>
            <w:tcW w:w="1816" w:type="dxa"/>
            <w:shd w:val="clear" w:color="auto" w:fill="auto"/>
            <w:vAlign w:val="center"/>
          </w:tcPr>
          <w:p w14:paraId="6E1A1D06">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年度工作完成情况等</w:t>
            </w:r>
          </w:p>
        </w:tc>
        <w:tc>
          <w:tcPr>
            <w:tcW w:w="2134" w:type="dxa"/>
            <w:vMerge w:val="continue"/>
            <w:shd w:val="clear" w:color="auto" w:fill="auto"/>
            <w:vAlign w:val="center"/>
          </w:tcPr>
          <w:p w14:paraId="3493587C">
            <w:pPr>
              <w:jc w:val="center"/>
              <w:rPr>
                <w:rFonts w:ascii="仿宋_GB2312" w:hAnsi="仿宋_GB2312" w:eastAsia="仿宋_GB2312" w:cs="仿宋_GB2312"/>
                <w:sz w:val="18"/>
                <w:szCs w:val="18"/>
              </w:rPr>
            </w:pPr>
          </w:p>
        </w:tc>
        <w:tc>
          <w:tcPr>
            <w:tcW w:w="1483" w:type="dxa"/>
            <w:shd w:val="clear" w:color="auto" w:fill="auto"/>
            <w:vAlign w:val="center"/>
          </w:tcPr>
          <w:p w14:paraId="68D964E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信息形成之日起20个工作日内</w:t>
            </w:r>
          </w:p>
        </w:tc>
        <w:tc>
          <w:tcPr>
            <w:tcW w:w="1050" w:type="dxa"/>
            <w:shd w:val="clear" w:color="auto" w:fill="auto"/>
            <w:vAlign w:val="center"/>
          </w:tcPr>
          <w:p w14:paraId="54ED14E6">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住房和城乡建设部门</w:t>
            </w:r>
          </w:p>
        </w:tc>
        <w:tc>
          <w:tcPr>
            <w:tcW w:w="2733" w:type="dxa"/>
            <w:shd w:val="clear" w:color="auto" w:fill="auto"/>
            <w:vAlign w:val="center"/>
          </w:tcPr>
          <w:p w14:paraId="442BC41B">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办事大厅、公示栏、便民服务窗口等场所</w:t>
            </w:r>
          </w:p>
        </w:tc>
        <w:tc>
          <w:tcPr>
            <w:tcW w:w="750" w:type="dxa"/>
            <w:shd w:val="clear" w:color="auto" w:fill="auto"/>
            <w:vAlign w:val="center"/>
          </w:tcPr>
          <w:p w14:paraId="6DBC490B">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338CC364">
            <w:pPr>
              <w:jc w:val="center"/>
              <w:rPr>
                <w:rFonts w:ascii="仿宋_GB2312" w:hAnsi="仿宋_GB2312" w:eastAsia="仿宋_GB2312" w:cs="仿宋_GB2312"/>
                <w:sz w:val="18"/>
                <w:szCs w:val="18"/>
              </w:rPr>
            </w:pPr>
          </w:p>
        </w:tc>
        <w:tc>
          <w:tcPr>
            <w:tcW w:w="650" w:type="dxa"/>
            <w:shd w:val="clear" w:color="auto" w:fill="auto"/>
            <w:vAlign w:val="center"/>
          </w:tcPr>
          <w:p w14:paraId="1D140FF0">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61FEBAD1">
            <w:pPr>
              <w:jc w:val="center"/>
              <w:rPr>
                <w:rFonts w:ascii="仿宋_GB2312" w:hAnsi="仿宋_GB2312" w:eastAsia="仿宋_GB2312" w:cs="仿宋_GB2312"/>
                <w:sz w:val="18"/>
                <w:szCs w:val="18"/>
              </w:rPr>
            </w:pPr>
          </w:p>
        </w:tc>
      </w:tr>
      <w:tr w14:paraId="54719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0" w:type="dxa"/>
            <w:shd w:val="clear" w:color="auto" w:fill="auto"/>
            <w:vAlign w:val="center"/>
          </w:tcPr>
          <w:p w14:paraId="76787C5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716" w:type="dxa"/>
            <w:vMerge w:val="restart"/>
            <w:shd w:val="clear" w:color="auto" w:fill="auto"/>
            <w:vAlign w:val="center"/>
          </w:tcPr>
          <w:p w14:paraId="595EB6F2">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舆情收集、热点及关键问题回应</w:t>
            </w:r>
          </w:p>
        </w:tc>
        <w:tc>
          <w:tcPr>
            <w:tcW w:w="1134" w:type="dxa"/>
            <w:shd w:val="clear" w:color="auto" w:fill="auto"/>
            <w:vAlign w:val="center"/>
          </w:tcPr>
          <w:p w14:paraId="686D4269">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舆情收集回应</w:t>
            </w:r>
          </w:p>
        </w:tc>
        <w:tc>
          <w:tcPr>
            <w:tcW w:w="1816" w:type="dxa"/>
            <w:shd w:val="clear" w:color="auto" w:fill="auto"/>
            <w:vAlign w:val="center"/>
          </w:tcPr>
          <w:p w14:paraId="70CB636A">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接受投诉、咨询、建议等联系电话、通信地址等</w:t>
            </w:r>
          </w:p>
        </w:tc>
        <w:tc>
          <w:tcPr>
            <w:tcW w:w="2134" w:type="dxa"/>
            <w:vMerge w:val="restart"/>
            <w:shd w:val="clear" w:color="auto" w:fill="auto"/>
            <w:vAlign w:val="center"/>
          </w:tcPr>
          <w:p w14:paraId="46EE6A27">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《政府信息公开条例》、《关于全面推进政务公开工作的意见》及其实施细则</w:t>
            </w:r>
          </w:p>
        </w:tc>
        <w:tc>
          <w:tcPr>
            <w:tcW w:w="1483" w:type="dxa"/>
            <w:shd w:val="clear" w:color="auto" w:fill="auto"/>
            <w:vAlign w:val="center"/>
          </w:tcPr>
          <w:p w14:paraId="1ADCF9D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信息形成之日</w:t>
            </w:r>
          </w:p>
          <w:p w14:paraId="63ACE5B0">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起20个工作日</w:t>
            </w:r>
          </w:p>
          <w:p w14:paraId="6702541A">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内</w:t>
            </w:r>
          </w:p>
        </w:tc>
        <w:tc>
          <w:tcPr>
            <w:tcW w:w="1050" w:type="dxa"/>
            <w:shd w:val="clear" w:color="auto" w:fill="auto"/>
            <w:vAlign w:val="center"/>
          </w:tcPr>
          <w:p w14:paraId="46FA16BF">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住房和城乡建设等相关职能部门</w:t>
            </w:r>
          </w:p>
        </w:tc>
        <w:tc>
          <w:tcPr>
            <w:tcW w:w="2733" w:type="dxa"/>
            <w:shd w:val="clear" w:color="auto" w:fill="auto"/>
            <w:vAlign w:val="center"/>
          </w:tcPr>
          <w:p w14:paraId="77A2E8A1">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政府门户网站、政务新媒体、广播、电视、报纸、公示栏等平台和办事大厅、便民服务窗口等场所</w:t>
            </w:r>
          </w:p>
        </w:tc>
        <w:tc>
          <w:tcPr>
            <w:tcW w:w="750" w:type="dxa"/>
            <w:shd w:val="clear" w:color="auto" w:fill="auto"/>
            <w:vAlign w:val="center"/>
          </w:tcPr>
          <w:p w14:paraId="4A48BE4C">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5028F6CE">
            <w:pPr>
              <w:jc w:val="center"/>
              <w:rPr>
                <w:rFonts w:ascii="仿宋_GB2312" w:hAnsi="仿宋_GB2312" w:eastAsia="仿宋_GB2312" w:cs="仿宋_GB2312"/>
                <w:sz w:val="18"/>
                <w:szCs w:val="18"/>
              </w:rPr>
            </w:pPr>
          </w:p>
        </w:tc>
        <w:tc>
          <w:tcPr>
            <w:tcW w:w="650" w:type="dxa"/>
            <w:shd w:val="clear" w:color="auto" w:fill="auto"/>
            <w:vAlign w:val="center"/>
          </w:tcPr>
          <w:p w14:paraId="39AC54DE">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2EA48E96">
            <w:pPr>
              <w:jc w:val="center"/>
              <w:rPr>
                <w:rFonts w:ascii="仿宋_GB2312" w:hAnsi="仿宋_GB2312" w:eastAsia="仿宋_GB2312" w:cs="仿宋_GB2312"/>
                <w:sz w:val="18"/>
                <w:szCs w:val="18"/>
              </w:rPr>
            </w:pPr>
          </w:p>
        </w:tc>
      </w:tr>
      <w:tr w14:paraId="7C36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0" w:type="dxa"/>
            <w:shd w:val="clear" w:color="auto" w:fill="auto"/>
            <w:vAlign w:val="center"/>
          </w:tcPr>
          <w:p w14:paraId="4EB3DC9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16</w:t>
            </w:r>
          </w:p>
        </w:tc>
        <w:tc>
          <w:tcPr>
            <w:tcW w:w="716" w:type="dxa"/>
            <w:vMerge w:val="continue"/>
            <w:shd w:val="clear" w:color="auto" w:fill="auto"/>
            <w:vAlign w:val="center"/>
          </w:tcPr>
          <w:p w14:paraId="17D555C8">
            <w:pPr>
              <w:jc w:val="center"/>
              <w:rPr>
                <w:rFonts w:ascii="仿宋_GB2312" w:hAnsi="仿宋_GB2312" w:eastAsia="仿宋_GB2312" w:cs="仿宋_GB2312"/>
                <w:sz w:val="18"/>
                <w:szCs w:val="18"/>
              </w:rPr>
            </w:pPr>
          </w:p>
        </w:tc>
        <w:tc>
          <w:tcPr>
            <w:tcW w:w="1134" w:type="dxa"/>
            <w:shd w:val="clear" w:color="auto" w:fill="auto"/>
            <w:vAlign w:val="center"/>
          </w:tcPr>
          <w:p w14:paraId="4E8C1D96">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互动回应</w:t>
            </w:r>
          </w:p>
        </w:tc>
        <w:tc>
          <w:tcPr>
            <w:tcW w:w="1816" w:type="dxa"/>
            <w:shd w:val="clear" w:color="auto" w:fill="auto"/>
            <w:vAlign w:val="center"/>
          </w:tcPr>
          <w:p w14:paraId="167323D6">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涉及群众切身利益和舆论关注的焦点、热点及关键问题等回应内容</w:t>
            </w:r>
          </w:p>
        </w:tc>
        <w:tc>
          <w:tcPr>
            <w:tcW w:w="2134" w:type="dxa"/>
            <w:vMerge w:val="continue"/>
            <w:shd w:val="clear" w:color="auto" w:fill="auto"/>
            <w:vAlign w:val="center"/>
          </w:tcPr>
          <w:p w14:paraId="23B8BBC3">
            <w:pPr>
              <w:jc w:val="center"/>
              <w:rPr>
                <w:rFonts w:ascii="仿宋_GB2312" w:hAnsi="仿宋_GB2312" w:eastAsia="仿宋_GB2312" w:cs="仿宋_GB2312"/>
                <w:sz w:val="18"/>
                <w:szCs w:val="18"/>
              </w:rPr>
            </w:pPr>
          </w:p>
        </w:tc>
        <w:tc>
          <w:tcPr>
            <w:tcW w:w="1483" w:type="dxa"/>
            <w:shd w:val="clear" w:color="auto" w:fill="auto"/>
            <w:vAlign w:val="center"/>
          </w:tcPr>
          <w:p w14:paraId="1A4E44D9">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及时发布信息；对涉及重大舆情的，要快速反应，并根据工作进展情况，持续发布信息。</w:t>
            </w:r>
          </w:p>
        </w:tc>
        <w:tc>
          <w:tcPr>
            <w:tcW w:w="1050" w:type="dxa"/>
            <w:shd w:val="clear" w:color="auto" w:fill="auto"/>
            <w:vAlign w:val="center"/>
          </w:tcPr>
          <w:p w14:paraId="43C4B4AF">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住房和城乡建设等相关职能部门</w:t>
            </w:r>
          </w:p>
        </w:tc>
        <w:tc>
          <w:tcPr>
            <w:tcW w:w="2733" w:type="dxa"/>
            <w:shd w:val="clear" w:color="auto" w:fill="auto"/>
            <w:vAlign w:val="center"/>
          </w:tcPr>
          <w:p w14:paraId="7A64F113">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办事大厅、公示栏、便民服务窗口等场所</w:t>
            </w:r>
          </w:p>
        </w:tc>
        <w:tc>
          <w:tcPr>
            <w:tcW w:w="750" w:type="dxa"/>
            <w:shd w:val="clear" w:color="auto" w:fill="auto"/>
            <w:vAlign w:val="center"/>
          </w:tcPr>
          <w:p w14:paraId="798704BF">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2561D705">
            <w:pPr>
              <w:jc w:val="center"/>
              <w:rPr>
                <w:rFonts w:ascii="仿宋_GB2312" w:hAnsi="仿宋_GB2312" w:eastAsia="仿宋_GB2312" w:cs="仿宋_GB2312"/>
                <w:sz w:val="18"/>
                <w:szCs w:val="18"/>
              </w:rPr>
            </w:pPr>
          </w:p>
        </w:tc>
        <w:tc>
          <w:tcPr>
            <w:tcW w:w="650" w:type="dxa"/>
            <w:shd w:val="clear" w:color="auto" w:fill="auto"/>
            <w:vAlign w:val="center"/>
          </w:tcPr>
          <w:p w14:paraId="1ECE6059">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0" w:type="dxa"/>
            <w:shd w:val="clear" w:color="auto" w:fill="auto"/>
            <w:vAlign w:val="center"/>
          </w:tcPr>
          <w:p w14:paraId="5F2CD6A5">
            <w:pPr>
              <w:jc w:val="center"/>
              <w:rPr>
                <w:rFonts w:ascii="仿宋_GB2312" w:hAnsi="仿宋_GB2312" w:eastAsia="仿宋_GB2312" w:cs="仿宋_GB2312"/>
                <w:sz w:val="18"/>
                <w:szCs w:val="18"/>
              </w:rPr>
            </w:pPr>
          </w:p>
        </w:tc>
      </w:tr>
    </w:tbl>
    <w:p w14:paraId="6E3BB89E">
      <w:pPr>
        <w:rPr>
          <w:rFonts w:ascii="仿宋_GB2312" w:hAnsi="仿宋_GB2312" w:eastAsia="仿宋_GB2312" w:cs="仿宋_GB2312"/>
          <w:sz w:val="18"/>
          <w:szCs w:val="1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E2B1F"/>
    <w:rsid w:val="00236DDC"/>
    <w:rsid w:val="00FD2396"/>
    <w:rsid w:val="13F27D60"/>
    <w:rsid w:val="619A7E75"/>
    <w:rsid w:val="7A6E2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1721</Words>
  <Characters>1742</Characters>
  <Lines>14</Lines>
  <Paragraphs>3</Paragraphs>
  <TotalTime>1</TotalTime>
  <ScaleCrop>false</ScaleCrop>
  <LinksUpToDate>false</LinksUpToDate>
  <CharactersWithSpaces>1747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2020-11-04T08:38:00Z</dcterms:created>
  <dc:creator>AWAP</dc:creator>
  <cp:lastModifiedBy>小麦啾</cp:lastModifiedBy>
  <dcterms:modified xsi:type="dcterms:W3CDTF">2025-01-24T04:05:28Z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23B24227142747BDAE064A55F282909E_13</vt:lpwstr>
  </property>
</Properties>
</file>