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木垒县学前教育发展布局规划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（2021-2025年）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前</w:t>
      </w:r>
      <w:r>
        <w:rPr>
          <w:rFonts w:hint="default" w:ascii="楷体_GB2312" w:hAnsi="楷体_GB2312" w:eastAsia="楷体_GB2312" w:cs="楷体_GB2312"/>
          <w:b w:val="0"/>
          <w:bCs w:val="0"/>
          <w:sz w:val="32"/>
          <w:szCs w:val="32"/>
          <w:lang w:val="en" w:eastAsia="zh-CN"/>
        </w:rPr>
        <w:t xml:space="preserve">  </w:t>
      </w:r>
      <w:r>
        <w:rPr>
          <w:rFonts w:hint="eastAsia" w:ascii="楷体_GB2312" w:hAnsi="楷体_GB2312" w:eastAsia="楷体_GB2312" w:cs="楷体_GB2312"/>
          <w:b w:val="0"/>
          <w:bCs w:val="0"/>
          <w:sz w:val="32"/>
          <w:szCs w:val="32"/>
          <w:lang w:val="en-US" w:eastAsia="zh-CN"/>
        </w:rPr>
        <w:t>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前教育是国民教育体系的重要组成部分，是重要的社会公益事业。办好学前教育，关系下一代健康成长，关系百姓的切身利益，关系国家和民族的未来。改革开放以来，木垒县学前教育取得长足发展，实现了各乡镇有中心园、自治区</w:t>
      </w:r>
      <w:r>
        <w:rPr>
          <w:rFonts w:hint="default" w:ascii="仿宋_GB2312" w:hAnsi="仿宋_GB2312" w:eastAsia="仿宋_GB2312" w:cs="仿宋_GB2312"/>
          <w:sz w:val="32"/>
          <w:szCs w:val="32"/>
          <w:lang w:val="en" w:eastAsia="zh-CN"/>
        </w:rPr>
        <w:t>级</w:t>
      </w:r>
      <w:r>
        <w:rPr>
          <w:rFonts w:hint="eastAsia" w:ascii="仿宋_GB2312" w:hAnsi="仿宋_GB2312" w:eastAsia="仿宋_GB2312" w:cs="仿宋_GB2312"/>
          <w:sz w:val="32"/>
          <w:szCs w:val="32"/>
          <w:lang w:val="en-US" w:eastAsia="zh-CN"/>
        </w:rPr>
        <w:t>贫困村有幼儿园的目标，实现了学前教育“应入尽入”的目标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但总体上看，学前教育仍是各类教育中的薄弱环节，面临许多困难和问题，还不能完全满足适龄幼儿接受高质量学前教育的需要。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为深入贯彻落实《中共中央 国务院关于学前教育深化改革规范发展的若干意见》、教育部《县域学前教育普及普惠督导评估办法》（教督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1号）、《自治区县域学前教育普及普惠督导评估工作方案》（新政教督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5号）和《新疆维吾尔自治区县域学前教育普及普惠督导评估指南》精神，制定本规划。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规划明确了全县学前教育设施的总量目标、布局原则、建设项目和保障措施，是县政府和部门依法履行职责、加快推进木垒县学前教育设施标准化建设、促进落实课程游戏化改革目标、进一步增强木垒县学前教育普及普惠的重要依据，是木垒县完善学前教育公共服务体系，满足适龄幼儿接受公平的、有质量的学前教育，形成规范有序、人民满意、充满活力的具有木垒特色现代化学前教育新格局的重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default" w:ascii="黑体" w:hAnsi="黑体" w:eastAsia="黑体" w:cs="黑体"/>
          <w:sz w:val="32"/>
          <w:szCs w:val="32"/>
          <w:lang w:val="en" w:eastAsia="zh-CN"/>
        </w:rPr>
        <w:t>一、</w:t>
      </w:r>
      <w:r>
        <w:rPr>
          <w:rFonts w:hint="eastAsia" w:ascii="黑体" w:hAnsi="黑体" w:eastAsia="黑体" w:cs="黑体"/>
          <w:sz w:val="32"/>
          <w:szCs w:val="32"/>
          <w:lang w:val="en-US" w:eastAsia="zh-CN"/>
        </w:rPr>
        <w:t>木垒县等级幼儿园情况</w:t>
      </w:r>
    </w:p>
    <w:tbl>
      <w:tblPr>
        <w:tblStyle w:val="7"/>
        <w:tblpPr w:leftFromText="180" w:rightFromText="180" w:vertAnchor="text" w:horzAnchor="page" w:tblpX="1875" w:tblpY="580"/>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35"/>
        <w:gridCol w:w="1679"/>
        <w:gridCol w:w="850"/>
        <w:gridCol w:w="1033"/>
        <w:gridCol w:w="89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序号</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单位名称</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在园幼儿（人）</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班级数</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办园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性质</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等级</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等级文件号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木垒县第一幼儿园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529</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示范园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木垒县第二幼儿园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514</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示范园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新户镇幼儿园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234</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示范园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乌孜别克族乡幼儿园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示范园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照壁山乡幼儿园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157</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示范园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雀仁乡幼儿园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125</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一级园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东城镇幼儿园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69</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一级园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西吉尔镇幼儿园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一级园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英格堡乡幼儿园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一级园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大石头村幼儿园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122</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二级园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大石头乡幼儿园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二级</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铁尔萨克村幼儿园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74</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二级园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白杨河乡幼儿园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102</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一级园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博斯坦乡幼儿园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168</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一级园</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鸡心梁村幼儿园</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三级</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木教【2018】155号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七个城子村教学点</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29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大石头村教学点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依尔喀巴克村教学点</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29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博斯坦乡幼儿园教学点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霍斯阔拉村教学点</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29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照壁山乡幼儿园教学点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沙吾仑村教学点</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29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雀仁乡幼儿园教学点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东山教学点</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公办</w:t>
            </w:r>
          </w:p>
        </w:tc>
        <w:tc>
          <w:tcPr>
            <w:tcW w:w="29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新户镇幼儿园教学点</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2021年木垒县等级幼儿园情况表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说明：有15所幼儿园，教学点5个，等级园15所，占比100%。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二、规划范围和期限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规划范围：木垒县域范围内，对县城所辖街道和乡镇幼儿园的发展进行统筹规划。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规划期限：2021-2025年。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三、指导思想、原则与目标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（一）指导思想。</w:t>
      </w:r>
      <w:r>
        <w:rPr>
          <w:rFonts w:hint="eastAsia" w:ascii="仿宋_GB2312" w:hAnsi="仿宋_GB2312" w:eastAsia="仿宋_GB2312" w:cs="仿宋_GB2312"/>
          <w:sz w:val="32"/>
          <w:szCs w:val="32"/>
          <w:lang w:val="en-US" w:eastAsia="zh-CN"/>
        </w:rPr>
        <w:t>以党的十九大精神和十九届历次全会精神为指引，全面贯彻新时代党的教育方针，围绕“优化资源、调整结构、健全机制、提升质量”的要求，贯彻“十四五”教育发展规划，坚持公益性原则、普惠性原则，遵循教育规律和幼儿身心发展规律，依据“十四五教育规划目标”要求，立足木垒县学前教育实际，因地制宜加快建成布局合理的学前教育公共服务网络，为幼儿提供安全方便、灵活多样、多种层次、规范优质、充满活力、人民满意的学前教育公共服务体系，促进幼儿健康快乐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县域普及普惠、促进教育公平。增强学前教育普惠性，把保障适龄儿童接受公平的、高质量的学前教育作为根本出发点和落脚点。加大财政投入，大力推进公办幼儿园建设，为加快建立政府主导、公办为主、民办补充的办园体制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——坚持统筹城乡、均衡发展。把统筹配置资源，加快城乡学前教育均衡发展作为重要支撑，加大乡镇幼儿园户外活动场地建设和玩教具配备力度，加强保教人员专业能力培训。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达标建设、提高质量。依据《自治区县域普惠性幼儿园评估细则》和《教育部幼儿园办园行为督导评估细则》，把推进木垒县幼儿园标准化建设、提高幼儿园办园质量作为重要着力点，按照《自治区县域普惠性幼儿园评估指南》和《教育部幼儿园办园行为督导评估细则》统一规划、建设、达标验收，扩大优质学前教育规模，提高办园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统一规划、分步实施。把统一规划、分类指导、分步实施作为实施规划的重要措施，优先规划、建设幼儿园户外活动场地，加大对乡镇幼儿园扶持力度，整合撤并部分村级教学点，确保按时完成各项目标任务，加大对州级“安吉游戏”试点园投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——坚持改革创新、特色发展。基于木垒县实际，深入推进国家通用语言学习与课程游戏化融合发展，探索“安吉游戏”的开展，推动学前教育课程改革。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（三）规划目标。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近期目标：</w:t>
      </w:r>
      <w:r>
        <w:rPr>
          <w:rFonts w:hint="eastAsia" w:ascii="仿宋_GB2312" w:hAnsi="仿宋_GB2312" w:eastAsia="仿宋_GB2312" w:cs="仿宋_GB2312"/>
          <w:sz w:val="32"/>
          <w:szCs w:val="32"/>
          <w:lang w:val="en-US" w:eastAsia="zh-CN"/>
        </w:rPr>
        <w:t>到2021年底，完成木垒县新城区幼儿园和木垒县第三幼儿园室内外标准化建设，雀仁乡中心幼儿园升级为县级示范园；到2022年完成全县乡村幼儿园户外活动场地扩建和部分功能室改建、户外玩具添置项目，完成县幼儿园、第二幼儿园户外活动场地标准化建设项目，学前教育优质资源相对充足，等级幼儿园达到100%。2023年博斯坦乡中心幼儿园升级为县级示范园，铁尔萨克村幼儿园、大石头乡幼儿园和大石头村幼儿园升级为县级一级幼儿园，鸡心梁村幼儿园升级为县级二级幼儿园；专任教师专科及以上学历达到100%，县级以上骨干教师达到15%，全县幼儿园非在编教师（保育员）工资达到社会岗位职工平均工资水平；优化城乡联盟幼儿园管理机制和幼儿园督导评估制度，深化国家通用语言学习融合课程游戏化改革，逐步推广安吉游戏，保教质量不断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远期目标：</w:t>
      </w:r>
      <w:r>
        <w:rPr>
          <w:rFonts w:hint="eastAsia" w:ascii="仿宋_GB2312" w:hAnsi="仿宋_GB2312" w:eastAsia="仿宋_GB2312" w:cs="仿宋_GB2312"/>
          <w:sz w:val="32"/>
          <w:szCs w:val="32"/>
          <w:lang w:val="en-US" w:eastAsia="zh-CN"/>
        </w:rPr>
        <w:t>到2025年，全县优质学前教育资源相对充足，一级幼儿园达到100%；县级及县级以上骨干教师达到40%，专家型教师达到5名，进一步完善联盟幼儿园管理机制和幼儿园督导评估制度，保教质量不断提高。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sz w:val="32"/>
          <w:szCs w:val="32"/>
          <w:lang w:val="en-US" w:eastAsia="zh-CN"/>
        </w:rPr>
        <w:t>“十四五”期间，不再新建幼儿园，重点在改善现有幼儿园规范办园行为和提升办园水平上用力，规划总投资5600万元。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主要指标计划情况表</w:t>
      </w:r>
    </w:p>
    <w:tbl>
      <w:tblPr>
        <w:tblStyle w:val="7"/>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1156"/>
        <w:gridCol w:w="244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指标</w:t>
            </w:r>
          </w:p>
        </w:tc>
        <w:tc>
          <w:tcPr>
            <w:tcW w:w="11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24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学前三年入园率</w:t>
            </w:r>
          </w:p>
        </w:tc>
        <w:tc>
          <w:tcPr>
            <w:tcW w:w="11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4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党组织建设</w:t>
            </w:r>
          </w:p>
        </w:tc>
        <w:tc>
          <w:tcPr>
            <w:tcW w:w="11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4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普惠性幼儿园</w:t>
            </w:r>
          </w:p>
        </w:tc>
        <w:tc>
          <w:tcPr>
            <w:tcW w:w="11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4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专家型教师</w:t>
            </w:r>
          </w:p>
        </w:tc>
        <w:tc>
          <w:tcPr>
            <w:tcW w:w="11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24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骨干教师</w:t>
            </w:r>
          </w:p>
        </w:tc>
        <w:tc>
          <w:tcPr>
            <w:tcW w:w="11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4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13</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扩建改造幼儿园</w:t>
            </w:r>
          </w:p>
        </w:tc>
        <w:tc>
          <w:tcPr>
            <w:tcW w:w="11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2440"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20个</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新建幼儿园</w:t>
            </w:r>
          </w:p>
        </w:tc>
        <w:tc>
          <w:tcPr>
            <w:tcW w:w="11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2440" w:type="dxa"/>
          </w:tcPr>
          <w:p>
            <w:pPr>
              <w:keepNext w:val="0"/>
              <w:keepLines w:val="0"/>
              <w:pageBreakBefore w:val="0"/>
              <w:widowControl w:val="0"/>
              <w:kinsoku/>
              <w:wordWrap/>
              <w:overflowPunct/>
              <w:topLinePunct w:val="0"/>
              <w:autoSpaceDE/>
              <w:autoSpaceDN/>
              <w:bidi w:val="0"/>
              <w:adjustRightInd/>
              <w:snapToGrid/>
              <w:spacing w:line="560" w:lineRule="exact"/>
              <w:ind w:firstLine="720" w:firstLineChars="3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78" w:type="dxa"/>
            <w:gridSpan w:val="4"/>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总投资：5600万元</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四、幼儿园布局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（一）布局要求。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1.按照服务人口规模合理均衡幼儿园布局。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人口增长和学前教育发展实际，科学合理布局幼儿园，按照最大园360名学位指标和小中大班分别为30、35、40名学位班额指标，规划布局幼儿园数量和规模，小区配套幼儿园要与新建住宅小区同步规划、同步建设、同步验收和同步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2.合理确定幼儿园服务半径。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幼儿园设点布局应方便幼儿就近入园，方便家长接送。乡镇以中心园为主，结合村庄的位置距离、交通状况，服务半径不宜超过三公里。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3.抓好乡镇中心园。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办好乡镇中心园，发挥乡镇中心园在农村学前教育发展中的指导作用，解决好少数民族幼儿国家通用语言听说能力的学习。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（二）规划布局。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目前我县幼儿人口增长现状，结合县域空间和二孩、三孩政策的人口预测，二孩、三孩政策对我县幼儿人数增长影响不大，根据2021年我县适龄幼儿数据——1100名，2021年至2025年县城及城郊乡镇5所幼儿园（县幼儿园、第二幼儿园、第三幼儿园、新户镇幼儿园、照壁山乡幼儿园）能按自治区要求容纳县城适龄幼儿人数。各乡镇幼儿园基本确保该乡镇10年幼儿入园人数。未来重点提升各乡镇中心幼儿园、教学点、村级园办园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城区规划：停办小白兔幼儿园，新城区幼儿园（新户幼儿园扩建）、第三幼儿园投入使用，解决县城内幼儿入园问题。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适度扩大乡镇中心园园所规模，完成幼儿人数过少的英格堡乡中心幼儿园、霍斯阔拉幼儿园整合撤并，实现课程游戏化改革，加快户外游戏场地建设。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远期布局：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城区规划：在近期学前教育基础上作适度调整。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根据木垒县幼儿增长数，不新建幼儿园，根据木垒县小区建设规划项目，调整部分小区幼儿到照壁山乡幼儿园和新户镇幼儿园就读。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农村规划：保留近期农村学前教育原有布局。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五、主要任务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（一）建立健全学前教育公共服务体系。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1.完善优化学前教育布局。</w:t>
      </w:r>
      <w:r>
        <w:rPr>
          <w:rFonts w:hint="eastAsia" w:ascii="仿宋_GB2312" w:hAnsi="仿宋_GB2312" w:eastAsia="仿宋_GB2312" w:cs="仿宋_GB2312"/>
          <w:sz w:val="32"/>
          <w:szCs w:val="32"/>
          <w:lang w:val="en-US" w:eastAsia="zh-CN"/>
        </w:rPr>
        <w:t>统筹考虑经济社会发展、城乡建设、计划生育政策完善和流动人口管理服务政策调整等对本县人口发展趋势的影响，超前谋划区域学前教育布局，建立普惠性幼儿园，按照构建覆盖面广、高质量学前教育服务体系建设要求，把幼儿园改造提升作为城镇化建设和新农村建设的重要项目，统一规划，优先建设。同时，按照就近便利和确保质量的原则，将建设重点放在乡镇中心园和城镇新增的居民区，合理提升乡村园和村教学点，着力解决就近入园，方便入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2.理顺学前教育管理体制和办园体制。落实县级政府主体责任，确保面向社会提供普惠性服务。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3.推进学前教育城乡一体化发展，继续推行城乡联盟园共同发展，强弱结对子帮扶模式。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（二）切实推进学前教育教师队伍建设。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优化教师队伍结构。按照自治区幼儿教师1:15编制标准，核定公办园教师编制。严格准入，加强培训，合理分配，着力提高专任教师适应课程游戏化改革能力，提高民考民教师的国家通用语言文字应用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教师培养培训。科学制定幼儿教师培训规划，有计划分层次借助国培、区培项目和援疆项目，开展园长、骨干教师和农村幼儿教师全员培训。通过开展多元化园际教研、园本教研等途径，全面促进教师的专业成长。加强幼儿教师从业规范和师德教育，努力建设一支师德高尚、热爱儿童、资质合格的幼儿教师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大力扶持县域内普惠性幼儿园高质量发展。加强政府办学。根据教育部规范化办园标准和自治区县域内普惠性幼儿园督导评估细则，制定《木垒县学前教育发展五年发展规划（2021-2025）年》，加大公办园建设力度，并根据学前教育发展规划、普惠性资源的布局和规范化办园标准，为县域内普惠性幼儿园提供优质学前教育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（三）大力推进改革创新。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通过政府购买服务解决保教人员短缺问题。落实好幼儿园生均标准、生均公用经费标准，保障财政拨款足额到位。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（四）加大薄弱幼儿园改造力度。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薄弱幼儿园改造提升。在全面摸排幼儿园现状的基础上，确定重点改造薄弱幼儿园名单，登记造册，对照《自治区县域学前教育普及普惠督导评估细则》，逐园制订改造提升计划，保质保量完成薄弱幼儿园改造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安全规范办园。完善安全管理和安全责任制度，建立全覆盖的幼儿园安全防护体系。认真落实卫生保健制度和食品采购、运送、储存、加工等环节的相关规定。县有关部门要按照职能分工，加强对幼儿园安全工作的监管与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（五）着力提升保教质量。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升科学保教水平。贯彻实施《3--6岁儿童学习与发展指南》，实施科学的保育教育。构建“三级教研网络”研究团队，深入研究幼儿的学习方式和特点，规范幼儿园课程实施和教学管理。扎实开展幼儿园国家通用语言学习，开展课程游戏化改革，推广“安吉游戏”。印发“幼小衔接”手册，做好幼小衔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幼儿园规范化办园建设。按照《教育部幼儿园督导评估细则》评定标准，引导和督促幼儿园加快规范化办园步伐，提升办园质量，扩大优质学前教育资源。提升学前教育质量，以满足社会多样化的学前教育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（六）做好迎接自治区和国家学前教育督导评估工作。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木垒县人民政府教育督导室组织人员对全县幼儿园开展每年一次督导评估工作。引导幼儿园规范办园。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1.积极推进残疾儿童随班就读和送教工作。幼儿园接受能适应其生活的轻度残疾幼儿随班就读，对不能适应幼儿园生活的残疾幼儿，各幼儿园负责辖区内残疾幼儿送教活动，确保木垒县幼儿毛入园率达到100%。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2.着力研究推广“国家通用语言背景下安吉游戏推广”模式。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三级教研网络”，发挥联盟园帮带作用，全面开展课程游戏化改革。整合五大领域课程融合语言学习活动，利用传统文化进校园契机，营造育人氛围。养成幼儿园一日生活各环节渗透国家通用语言学习机会。深度挖掘优秀传统故事，对幼儿进行“五个认同”教育。立足本地实际，挖掘自然资源，尊重儿童发展天性，推广安吉游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学前教育布局规划实施的组织领导，把实施《木垒县学前布局规划》作为贯彻落实国家、区、州发展学前教育政策的突破口，作为促进教育公平和保障民生的重要内容，切实抓紧抓好。要实行政府统一领导、教育部门主管、各乡镇和有关部门分工负责的工作机制，明确职责分工、密切配合，加强对学前布局规划实施指导、服务和管理。并成立由分管县领导担任组长的学前教育布局规划实施工作领导小组。县发改委、编办、人社局、教育局、住建局、财政局、自然资源局、生态环境保护局、卫健委、妇幼保健院等相关部门负责人为领导小组成员，领导小组下设办公室（办公室设在县教育局），教育局主要负责人担任学前教育布局规划实施工作领导小组办公室主任，办公室具体负责统筹、协调全县学前教育布局规划建设相关工作。各部门压实责任（各部门责任见附件），为木垒县学前教育高质量发展保驾护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加强学前教育制度建设，要完善学前教育的组织、要素、人才、督导等系列制度，规范学前教育规划实施和科学办学的制度。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（三）加强要素管理。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前教育经费列入财政预算，新增教育经费向学前教育倾斜，建立公办幼儿园公用经费拨付机制。财政性学前教育经费在同级财政经费中所占比例逐年提高。加大对学前教育设施布局规划建设项目经费使用的监督管理力度，完善资金管理办法，严格规范资金投入渠道，确保资金使用的合法性、资金核算的准确性、资金拨付的及时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（四）加强人才保障。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把教师准入关，严格实行幼儿教师准入和持证上岗制度；依法保障幼儿教师在培训、专业技术职务评聘等方面的合法权益，县政府出台相关政策对木垒县学前教育引进和现有领军人才给予各方面优惠待遇，确保留住人才；加强联盟园帮带力度，提升幼儿园管理水平和教研质量。引培结合，有计划地补充学前教育领军人才。加强全县幼儿园教师的培训。帮助幼儿园提高管理和保教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（五）加强督导保障。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将学前教育纳入政府教育督导工作范围，并建立学前教育专项督导制度，定期对学前教育规范化办园、学前教育普及普惠程度、办园条件、经费投入与使用、安全卫生、保教质量、教师队伍建设等方面进行督导。教育行政部门加强对幼儿园的考核评估和专项检查。对违反国家有关法律法规、重大师生安全事故的幼儿园，实行一票否决制和责任追究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bookmarkStart w:id="0" w:name="_GoBack"/>
      <w:bookmarkEnd w:id="0"/>
    </w:p>
    <w:sectPr>
      <w:footerReference r:id="rId3" w:type="default"/>
      <w:pgSz w:w="11906" w:h="16838"/>
      <w:pgMar w:top="1587" w:right="1474" w:bottom="147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737ED"/>
    <w:rsid w:val="000B15A6"/>
    <w:rsid w:val="00415B94"/>
    <w:rsid w:val="029F095C"/>
    <w:rsid w:val="03332A7A"/>
    <w:rsid w:val="051D2418"/>
    <w:rsid w:val="05CA7B55"/>
    <w:rsid w:val="0923111C"/>
    <w:rsid w:val="09973337"/>
    <w:rsid w:val="09F04BB9"/>
    <w:rsid w:val="0AC478F9"/>
    <w:rsid w:val="0B030828"/>
    <w:rsid w:val="0B367739"/>
    <w:rsid w:val="0FCE4850"/>
    <w:rsid w:val="108535D4"/>
    <w:rsid w:val="10DF1F47"/>
    <w:rsid w:val="115E2223"/>
    <w:rsid w:val="117113BF"/>
    <w:rsid w:val="12353F7D"/>
    <w:rsid w:val="12C052BE"/>
    <w:rsid w:val="13326154"/>
    <w:rsid w:val="13ED5AB3"/>
    <w:rsid w:val="14413947"/>
    <w:rsid w:val="14897911"/>
    <w:rsid w:val="15F46ED9"/>
    <w:rsid w:val="175D48AC"/>
    <w:rsid w:val="17D03B57"/>
    <w:rsid w:val="17DD58B1"/>
    <w:rsid w:val="18BE7C3A"/>
    <w:rsid w:val="18C839F0"/>
    <w:rsid w:val="18C97FD3"/>
    <w:rsid w:val="18FE5579"/>
    <w:rsid w:val="19D5D245"/>
    <w:rsid w:val="1ABA35D3"/>
    <w:rsid w:val="1AD61189"/>
    <w:rsid w:val="1B8E76EF"/>
    <w:rsid w:val="1BC3497B"/>
    <w:rsid w:val="1BDD6E93"/>
    <w:rsid w:val="1C1477CD"/>
    <w:rsid w:val="1D9753E0"/>
    <w:rsid w:val="1DC728C4"/>
    <w:rsid w:val="1E1737ED"/>
    <w:rsid w:val="1E2543DD"/>
    <w:rsid w:val="1E81243E"/>
    <w:rsid w:val="1E8F4AA2"/>
    <w:rsid w:val="1F0E6FBB"/>
    <w:rsid w:val="1F43138C"/>
    <w:rsid w:val="206270D2"/>
    <w:rsid w:val="20901E7C"/>
    <w:rsid w:val="22A1073B"/>
    <w:rsid w:val="23C63FE1"/>
    <w:rsid w:val="2420260F"/>
    <w:rsid w:val="263141A1"/>
    <w:rsid w:val="2641014A"/>
    <w:rsid w:val="266065FA"/>
    <w:rsid w:val="27161EED"/>
    <w:rsid w:val="28431750"/>
    <w:rsid w:val="28A92C1C"/>
    <w:rsid w:val="28BE2293"/>
    <w:rsid w:val="2914361E"/>
    <w:rsid w:val="29E611D6"/>
    <w:rsid w:val="2AC63DF3"/>
    <w:rsid w:val="2B5FC3FE"/>
    <w:rsid w:val="2CDA5A94"/>
    <w:rsid w:val="2D6E6456"/>
    <w:rsid w:val="2F3640A5"/>
    <w:rsid w:val="2FFD3029"/>
    <w:rsid w:val="3099157B"/>
    <w:rsid w:val="31994975"/>
    <w:rsid w:val="325E5151"/>
    <w:rsid w:val="32C9549D"/>
    <w:rsid w:val="333621CE"/>
    <w:rsid w:val="33D239DB"/>
    <w:rsid w:val="347138E7"/>
    <w:rsid w:val="347A0263"/>
    <w:rsid w:val="355734E6"/>
    <w:rsid w:val="35E414C0"/>
    <w:rsid w:val="36381FC1"/>
    <w:rsid w:val="36D35647"/>
    <w:rsid w:val="36E74B3D"/>
    <w:rsid w:val="376A0750"/>
    <w:rsid w:val="37E45963"/>
    <w:rsid w:val="3812247C"/>
    <w:rsid w:val="38F77164"/>
    <w:rsid w:val="390313E5"/>
    <w:rsid w:val="3966757C"/>
    <w:rsid w:val="3AE5623B"/>
    <w:rsid w:val="3B423F23"/>
    <w:rsid w:val="3B980A7F"/>
    <w:rsid w:val="3CB42BEC"/>
    <w:rsid w:val="3EB523A8"/>
    <w:rsid w:val="3F0847B3"/>
    <w:rsid w:val="3F422E97"/>
    <w:rsid w:val="3F434567"/>
    <w:rsid w:val="3F776F28"/>
    <w:rsid w:val="3F7F0B25"/>
    <w:rsid w:val="40CC088D"/>
    <w:rsid w:val="40EE4DA8"/>
    <w:rsid w:val="414D46EF"/>
    <w:rsid w:val="425E0CEA"/>
    <w:rsid w:val="432C0A88"/>
    <w:rsid w:val="442E1D06"/>
    <w:rsid w:val="4537235C"/>
    <w:rsid w:val="469934BA"/>
    <w:rsid w:val="477753AF"/>
    <w:rsid w:val="47D71F3B"/>
    <w:rsid w:val="490C5F6E"/>
    <w:rsid w:val="49273333"/>
    <w:rsid w:val="4A9170EE"/>
    <w:rsid w:val="4BA23096"/>
    <w:rsid w:val="4CE827FA"/>
    <w:rsid w:val="4D29111C"/>
    <w:rsid w:val="4D9433D0"/>
    <w:rsid w:val="4E437E4F"/>
    <w:rsid w:val="4F3944EB"/>
    <w:rsid w:val="4F3C1C0E"/>
    <w:rsid w:val="50CB328A"/>
    <w:rsid w:val="510F4B04"/>
    <w:rsid w:val="51900C0E"/>
    <w:rsid w:val="51C3344D"/>
    <w:rsid w:val="531425C1"/>
    <w:rsid w:val="535240CF"/>
    <w:rsid w:val="555E5A04"/>
    <w:rsid w:val="564E161B"/>
    <w:rsid w:val="56EE1C65"/>
    <w:rsid w:val="57FF9309"/>
    <w:rsid w:val="5880065D"/>
    <w:rsid w:val="59576F8F"/>
    <w:rsid w:val="596104EC"/>
    <w:rsid w:val="59CC6C33"/>
    <w:rsid w:val="5A9C3568"/>
    <w:rsid w:val="5AFC7429"/>
    <w:rsid w:val="5B350126"/>
    <w:rsid w:val="5B8D6139"/>
    <w:rsid w:val="5BA04404"/>
    <w:rsid w:val="5C013CFD"/>
    <w:rsid w:val="5CCC5711"/>
    <w:rsid w:val="5CFF5992"/>
    <w:rsid w:val="5E032569"/>
    <w:rsid w:val="5F5DAE18"/>
    <w:rsid w:val="5FB072A2"/>
    <w:rsid w:val="61881168"/>
    <w:rsid w:val="62BF57BB"/>
    <w:rsid w:val="630E7D10"/>
    <w:rsid w:val="63564121"/>
    <w:rsid w:val="64042B76"/>
    <w:rsid w:val="64B3638B"/>
    <w:rsid w:val="64D3249B"/>
    <w:rsid w:val="65530196"/>
    <w:rsid w:val="65B01D1D"/>
    <w:rsid w:val="67D96FBE"/>
    <w:rsid w:val="68486F19"/>
    <w:rsid w:val="687D3626"/>
    <w:rsid w:val="68DE17D2"/>
    <w:rsid w:val="697B702D"/>
    <w:rsid w:val="697E45C7"/>
    <w:rsid w:val="6A2B658B"/>
    <w:rsid w:val="6A456008"/>
    <w:rsid w:val="6A722958"/>
    <w:rsid w:val="6AB65C8A"/>
    <w:rsid w:val="6ABB04BB"/>
    <w:rsid w:val="6DCF1F70"/>
    <w:rsid w:val="6E8D3CEB"/>
    <w:rsid w:val="6EBB39F1"/>
    <w:rsid w:val="6F6327A3"/>
    <w:rsid w:val="7008136F"/>
    <w:rsid w:val="70120A68"/>
    <w:rsid w:val="70217669"/>
    <w:rsid w:val="70C80B31"/>
    <w:rsid w:val="711C23F6"/>
    <w:rsid w:val="73821602"/>
    <w:rsid w:val="73985845"/>
    <w:rsid w:val="73E17E50"/>
    <w:rsid w:val="73E34776"/>
    <w:rsid w:val="74352C52"/>
    <w:rsid w:val="75080EA7"/>
    <w:rsid w:val="75AF06DB"/>
    <w:rsid w:val="75C13055"/>
    <w:rsid w:val="75C93B80"/>
    <w:rsid w:val="76BD03E7"/>
    <w:rsid w:val="76EC098B"/>
    <w:rsid w:val="776F48D2"/>
    <w:rsid w:val="77A93721"/>
    <w:rsid w:val="78673B33"/>
    <w:rsid w:val="78801AC4"/>
    <w:rsid w:val="78BE5627"/>
    <w:rsid w:val="79633B51"/>
    <w:rsid w:val="79BF5653"/>
    <w:rsid w:val="7AA458E8"/>
    <w:rsid w:val="7B074B60"/>
    <w:rsid w:val="7B2620BA"/>
    <w:rsid w:val="7BFA3C06"/>
    <w:rsid w:val="7BFF6E23"/>
    <w:rsid w:val="7C386299"/>
    <w:rsid w:val="7C7F58F2"/>
    <w:rsid w:val="7D0F2D8F"/>
    <w:rsid w:val="7D6B085D"/>
    <w:rsid w:val="7E755B55"/>
    <w:rsid w:val="7EFD0F1B"/>
    <w:rsid w:val="7F722D34"/>
    <w:rsid w:val="7FF065A0"/>
    <w:rsid w:val="A7FF3C1F"/>
    <w:rsid w:val="BEEFAB85"/>
    <w:rsid w:val="BFEE7B13"/>
    <w:rsid w:val="BFFEE21F"/>
    <w:rsid w:val="DF5B72F7"/>
    <w:rsid w:val="EB2F20ED"/>
    <w:rsid w:val="EEFF7480"/>
    <w:rsid w:val="F5BF9BB2"/>
    <w:rsid w:val="F7FFDD61"/>
    <w:rsid w:val="FDAF0516"/>
    <w:rsid w:val="FDB56A2B"/>
    <w:rsid w:val="FEEAE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paragraph" w:styleId="3">
    <w:name w:val="heading 3"/>
    <w:basedOn w:val="1"/>
    <w:next w:val="1"/>
    <w:qFormat/>
    <w:uiPriority w:val="0"/>
    <w:pPr>
      <w:keepNext/>
      <w:keepLines/>
      <w:spacing w:before="260" w:after="260" w:line="415" w:lineRule="auto"/>
      <w:outlineLvl w:val="2"/>
    </w:pPr>
    <w:rPr>
      <w:rFonts w:ascii="宋体" w:hAnsi="宋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无间隔1"/>
    <w:qFormat/>
    <w:uiPriority w:val="1"/>
    <w:pPr>
      <w:widowControl w:val="0"/>
    </w:pPr>
    <w:rPr>
      <w:rFonts w:ascii="Calibri" w:hAnsi="Calibri" w:eastAsia="仿宋_GB2312"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2021-02-15T02:05:00Z</dcterms:created>
  <dc:creator>Administrator</dc:creator>
  <cp:lastModifiedBy>Administrator</cp:lastModifiedBy>
  <cp:lastPrinted>2021-12-24T20:36:00Z</cp:lastPrinted>
  <dcterms:modified xsi:type="dcterms:W3CDTF">2023-06-07T13:14:05Z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C2FAA132919A4DE18388056737C19083</vt:lpwstr>
  </property>
</Properties>
</file>