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bookmarkStart w:id="0" w:name="_Toc24724720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（十一）木垒县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市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政服务领域基层政务公开标准目录</w:t>
      </w:r>
      <w:bookmarkEnd w:id="0"/>
    </w:p>
    <w:tbl>
      <w:tblPr>
        <w:tblStyle w:val="2"/>
        <w:tblpPr w:leftFromText="180" w:rightFromText="180" w:vertAnchor="text" w:horzAnchor="page" w:tblpX="1321" w:tblpY="1125"/>
        <w:tblOverlap w:val="never"/>
        <w:tblW w:w="14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716"/>
        <w:gridCol w:w="1134"/>
        <w:gridCol w:w="1816"/>
        <w:gridCol w:w="2134"/>
        <w:gridCol w:w="1483"/>
        <w:gridCol w:w="1067"/>
        <w:gridCol w:w="2700"/>
        <w:gridCol w:w="766"/>
        <w:gridCol w:w="684"/>
        <w:gridCol w:w="666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公开内容（要素）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一级事项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二级事项</w:t>
            </w:r>
          </w:p>
        </w:tc>
        <w:tc>
          <w:tcPr>
            <w:tcW w:w="18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全社会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特定群众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城镇燃气管理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燃气经营许可证核发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申请条件、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法定依据</w:t>
            </w:r>
          </w:p>
        </w:tc>
        <w:tc>
          <w:tcPr>
            <w:tcW w:w="2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《城镇燃气管理条例》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20个工作日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负责审批的燃气管理部门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政府网站、新闻发布会、报刊、广播、电视或其他便于公众知晓的方式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申请条件、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法定依据</w:t>
            </w:r>
          </w:p>
        </w:tc>
        <w:tc>
          <w:tcPr>
            <w:tcW w:w="2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《城镇燃气管理条例》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20个工作日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负责审批的燃气管理部门</w:t>
            </w: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市政设施建设类审批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占用、挖掘城市道路审批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申请条件、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法定依据</w:t>
            </w:r>
          </w:p>
        </w:tc>
        <w:tc>
          <w:tcPr>
            <w:tcW w:w="2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《城镇燃气管理条例》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20个工作日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住建局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依附城市道路建设各种管线及城市桥梁上架设各类市政管线审批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申请条件、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法定依据</w:t>
            </w:r>
          </w:p>
        </w:tc>
        <w:tc>
          <w:tcPr>
            <w:tcW w:w="2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《城镇燃气管理条例》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20个工作日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住建局</w:t>
            </w: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特殊车辆在城市道路上行驶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申请条件、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法定依据</w:t>
            </w:r>
          </w:p>
        </w:tc>
        <w:tc>
          <w:tcPr>
            <w:tcW w:w="2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《城镇燃气管理条例》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20个工作日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住建局</w:t>
            </w: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城市园林绿化管理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城市园林绿化行政审批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2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《政府信息公开条例》、《城市绿化条例》、《国务院对确需保留的行政审批项目设定行政许可的决定》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住建局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政府网站、公开查阅点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城市园林绿化行政处罚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2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《政府信息公开条例》、《城市绿化条例》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住建局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政府网站、公开查阅点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城市供水、城镇排水与污水处理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申请条件、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申请材料、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申请流程、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法定依据</w:t>
            </w:r>
          </w:p>
        </w:tc>
        <w:tc>
          <w:tcPr>
            <w:tcW w:w="2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《城市供水条例》《城镇排水与污水处理条例》《国务院关于印发清理规范投资项目报建审批事项实施方案的通知》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住建局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政府门户网站、公开查阅点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城市供水、城镇排水与污水处理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因工程施工、设备维修等确需停止供水的审批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申请条件、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申请材料、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申请流程、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法定依据</w:t>
            </w:r>
          </w:p>
        </w:tc>
        <w:tc>
          <w:tcPr>
            <w:tcW w:w="2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《城市供水条例》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住建局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政府门户网站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公开查阅点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申请条件、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申请材料、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申请流程、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法定依据</w:t>
            </w:r>
          </w:p>
        </w:tc>
        <w:tc>
          <w:tcPr>
            <w:tcW w:w="2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《城镇排水与污水处理条例》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住建局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政府门户网站、公开查阅点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56D3"/>
    <w:rsid w:val="00483643"/>
    <w:rsid w:val="005C1E30"/>
    <w:rsid w:val="0CA91D3E"/>
    <w:rsid w:val="151D56D3"/>
    <w:rsid w:val="15B6433E"/>
    <w:rsid w:val="1D3A40E1"/>
    <w:rsid w:val="2AF5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1109</Words>
  <Characters>1120</Characters>
  <Lines>9</Lines>
  <Paragraphs>2</Paragraphs>
  <TotalTime>1</TotalTime>
  <ScaleCrop>false</ScaleCrop>
  <LinksUpToDate>false</LinksUpToDate>
  <CharactersWithSpaces>1140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2020-11-04T08:38:00Z</dcterms:created>
  <dc:creator>AWAP</dc:creator>
  <cp:lastModifiedBy>Administrator</cp:lastModifiedBy>
  <dcterms:modified xsi:type="dcterms:W3CDTF">2025-03-27T10:54:05Z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E529541BF57B4933A00904CB240BFE80_13</vt:lpwstr>
  </property>
</Properties>
</file>