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lang w:val="en-US" w:eastAsia="zh-CN"/>
        </w:rPr>
        <w:t>：</w:t>
      </w:r>
    </w:p>
    <w:p>
      <w:pPr>
        <w:autoSpaceDE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木垒县客运出租汽车服务运行</w:t>
      </w:r>
    </w:p>
    <w:p>
      <w:pPr>
        <w:autoSpaceDE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成本监审</w:t>
      </w:r>
      <w:r>
        <w:rPr>
          <w:rFonts w:hint="eastAsia" w:ascii="方正小标宋简体" w:hAnsi="方正小标宋简体" w:eastAsia="方正小标宋简体" w:cs="方正小标宋简体"/>
          <w:b w:val="0"/>
          <w:bCs/>
          <w:sz w:val="44"/>
          <w:szCs w:val="44"/>
        </w:rPr>
        <w:t>报告</w:t>
      </w:r>
    </w:p>
    <w:p>
      <w:pPr>
        <w:autoSpaceDE w:val="0"/>
        <w:spacing w:line="560" w:lineRule="exact"/>
        <w:rPr>
          <w:rFonts w:ascii="仿宋_GB2312" w:hAnsi="宋体"/>
          <w:b/>
          <w:bCs/>
        </w:rPr>
      </w:pPr>
      <w:r>
        <w:rPr>
          <w:rFonts w:ascii="仿宋_GB2312" w:hAnsi="宋体"/>
          <w:b/>
          <w:bCs/>
        </w:rPr>
        <w:t xml:space="preserve"> </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根据《中华人民共和国价格法》、《政府制定价格成本监审办法》(国家发展改革委第8号令)等有关法律、法规和有关规定，</w:t>
      </w:r>
      <w:r>
        <w:rPr>
          <w:rFonts w:hint="eastAsia" w:ascii="仿宋_GB2312" w:hAnsi="仿宋_GB2312" w:eastAsia="仿宋_GB2312" w:cs="仿宋_GB2312"/>
          <w:b w:val="0"/>
          <w:bCs w:val="0"/>
          <w:color w:val="auto"/>
          <w:sz w:val="32"/>
          <w:szCs w:val="32"/>
          <w:u w:val="none"/>
          <w:lang w:val="en-US" w:eastAsia="zh-CN"/>
        </w:rPr>
        <w:t>经县交通局申请，县人民政府主要领导批办，</w:t>
      </w:r>
      <w:r>
        <w:rPr>
          <w:rFonts w:hint="eastAsia" w:ascii="仿宋_GB2312" w:hAnsi="仿宋_GB2312" w:eastAsia="仿宋_GB2312" w:cs="仿宋_GB2312"/>
          <w:b w:val="0"/>
          <w:bCs w:val="0"/>
          <w:color w:val="auto"/>
          <w:sz w:val="32"/>
          <w:szCs w:val="32"/>
          <w:lang w:val="en-US" w:eastAsia="zh-CN"/>
        </w:rPr>
        <w:t>县发改委聘请新疆中铭价格评估咨询有限责任公司对木垒县现行城市客运出租汽车运价成本进行核算</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根据</w:t>
      </w:r>
      <w:r>
        <w:rPr>
          <w:rFonts w:hint="eastAsia" w:ascii="仿宋_GB2312" w:hAnsi="仿宋_GB2312" w:eastAsia="仿宋_GB2312" w:cs="仿宋_GB2312"/>
          <w:b w:val="0"/>
          <w:bCs w:val="0"/>
          <w:color w:val="auto"/>
          <w:sz w:val="32"/>
          <w:szCs w:val="32"/>
          <w:lang w:val="en-US" w:eastAsia="zh-CN"/>
        </w:rPr>
        <w:t>新疆中铭价格评估咨询有限责任公司</w:t>
      </w:r>
      <w:r>
        <w:rPr>
          <w:rFonts w:hint="eastAsia" w:ascii="仿宋_GB2312" w:hAnsi="仿宋_GB2312" w:eastAsia="仿宋_GB2312" w:cs="仿宋_GB2312"/>
          <w:b w:val="0"/>
          <w:bCs w:val="0"/>
          <w:color w:val="auto"/>
          <w:sz w:val="32"/>
          <w:szCs w:val="32"/>
          <w:lang w:eastAsia="zh-CN"/>
        </w:rPr>
        <w:t>出具的《</w:t>
      </w:r>
      <w:r>
        <w:rPr>
          <w:rFonts w:hint="eastAsia" w:ascii="仿宋_GB2312" w:hAnsi="仿宋_GB2312" w:eastAsia="仿宋_GB2312" w:cs="仿宋_GB2312"/>
          <w:b w:val="0"/>
          <w:bCs w:val="0"/>
          <w:color w:val="auto"/>
          <w:sz w:val="32"/>
          <w:szCs w:val="32"/>
          <w:lang w:val="en-US" w:eastAsia="zh-CN"/>
        </w:rPr>
        <w:t>木垒县客运出租汽车</w:t>
      </w:r>
      <w:r>
        <w:rPr>
          <w:rFonts w:hint="eastAsia" w:ascii="仿宋_GB2312" w:hAnsi="仿宋_GB2312" w:eastAsia="仿宋_GB2312" w:cs="仿宋_GB2312"/>
          <w:b w:val="0"/>
          <w:bCs w:val="0"/>
          <w:color w:val="auto"/>
          <w:sz w:val="32"/>
          <w:szCs w:val="32"/>
        </w:rPr>
        <w:t>成本</w:t>
      </w:r>
      <w:r>
        <w:rPr>
          <w:rFonts w:hint="eastAsia" w:ascii="仿宋_GB2312" w:hAnsi="仿宋_GB2312" w:eastAsia="仿宋_GB2312" w:cs="仿宋_GB2312"/>
          <w:b w:val="0"/>
          <w:bCs w:val="0"/>
          <w:color w:val="auto"/>
          <w:sz w:val="32"/>
          <w:szCs w:val="32"/>
          <w:lang w:val="en-US" w:eastAsia="zh-CN"/>
        </w:rPr>
        <w:t>测算（审核）</w:t>
      </w:r>
      <w:r>
        <w:rPr>
          <w:rFonts w:hint="eastAsia" w:ascii="仿宋_GB2312" w:hAnsi="仿宋_GB2312" w:eastAsia="仿宋_GB2312" w:cs="仿宋_GB2312"/>
          <w:b w:val="0"/>
          <w:bCs w:val="0"/>
          <w:color w:val="auto"/>
          <w:sz w:val="32"/>
          <w:szCs w:val="32"/>
        </w:rPr>
        <w:t>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县发改委对木垒县现行城市客运出租汽车运营成本进行了监审，现将成本监审情况报告如下：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一、成本监审项目</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木垒县城市</w:t>
      </w:r>
      <w:r>
        <w:rPr>
          <w:rFonts w:hint="eastAsia" w:ascii="仿宋_GB2312" w:hAnsi="仿宋_GB2312" w:eastAsia="仿宋_GB2312" w:cs="仿宋_GB2312"/>
          <w:b w:val="0"/>
          <w:bCs w:val="0"/>
          <w:color w:val="auto"/>
          <w:sz w:val="32"/>
          <w:szCs w:val="32"/>
          <w:lang w:val="en-US" w:eastAsia="zh-CN"/>
        </w:rPr>
        <w:t>客运出租汽车单车运营</w:t>
      </w:r>
      <w:r>
        <w:rPr>
          <w:rFonts w:hint="eastAsia" w:ascii="仿宋_GB2312" w:hAnsi="仿宋_GB2312" w:eastAsia="仿宋_GB2312" w:cs="仿宋_GB2312"/>
          <w:b w:val="0"/>
          <w:bCs w:val="0"/>
          <w:color w:val="auto"/>
          <w:sz w:val="32"/>
          <w:szCs w:val="32"/>
          <w:lang w:eastAsia="zh-CN"/>
        </w:rPr>
        <w:t>成本监审。</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被监审单位基本情况</w:t>
      </w:r>
      <w:r>
        <w:rPr>
          <w:rFonts w:hint="eastAsia" w:ascii="黑体" w:hAnsi="黑体" w:eastAsia="黑体" w:cs="黑体"/>
          <w:b w:val="0"/>
          <w:bCs w:val="0"/>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目前，木垒县经营巡游客运出租车的企业共2家，拥有79辆巡游出租车，其中：木垒哈萨克自治县宏远汽车运输有限责任公司，成立于2002年4月，办公室地址位于县长乐东路179号，是在原木垒县小汽车修理厂的基础上改制而来，公司现有员工208人，其中管理人员4人，公司注册资金61.2万元，拥有参营出租客车64辆，货运车辆133辆；木垒县汽车运输有限责任公司于1998年12月01日成立，位于县人民北路与木巴路交汇处，现有出租车15辆、线路车7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上两家出租车运营企业均取得了《道路运输经营许可证》，运营车辆按规定办理了《道路运输证》，驾驶员均取得县交通运输局颁发的《巡游出租车驾驶员从业资格证》。运营车辆主要由现代伊兰特、大众桑塔纳、大众捷达、日产轩逸等品牌车辆构成。主要经营形式为个体挂靠经营，公司负责管理，提供相关经营服务。</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三、成本监审主要依据</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（一）《中华人民共和国价格法》；</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（二）《政府制定价格成本监审办法》(国家发展改革委第8号令)；</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（三）《新疆维吾尔自治区政府制定价格成本监审办法实施细则（试行）》（新发改成本〔2006〕1065号）。</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en-US" w:eastAsia="zh-CN"/>
        </w:rPr>
        <w:t>）《政府制定价格行为规则》(国家发展改革委第7号令)；</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val="en-US" w:eastAsia="zh-CN"/>
        </w:rPr>
        <w:t>）国家发改委《定价成本监审一般技术规范（试行）》（发改价格﹝2007﹞1219号）；</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val="en-US" w:eastAsia="zh-CN"/>
        </w:rPr>
        <w:t>）国家发改委《客运出租车运营定价成本监审办法（试行）》（发改办价格﹝2006﹞2406号）；</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val="en-US" w:eastAsia="zh-CN"/>
        </w:rPr>
        <w:t>）《新疆维吾尔自治区政府制定价格成本监审目录》；</w:t>
      </w:r>
    </w:p>
    <w:p>
      <w:pPr>
        <w:pStyle w:val="6"/>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val="en-US" w:eastAsia="zh-CN"/>
        </w:rPr>
        <w:t>）其他有关成本监审有关的法律、法规、政策。</w:t>
      </w:r>
    </w:p>
    <w:p>
      <w:pPr>
        <w:keepNext w:val="0"/>
        <w:keepLines w:val="0"/>
        <w:pageBreakBefore w:val="0"/>
        <w:kinsoku/>
        <w:wordWrap/>
        <w:overflowPunct/>
        <w:topLinePunct w:val="0"/>
        <w:autoSpaceDE w:val="0"/>
        <w:autoSpaceDN/>
        <w:bidi w:val="0"/>
        <w:spacing w:line="560" w:lineRule="exact"/>
        <w:ind w:firstLine="800" w:firstLineChars="25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成本监审原则：</w:t>
      </w:r>
      <w:r>
        <w:rPr>
          <w:rFonts w:hint="eastAsia" w:ascii="仿宋_GB2312" w:hAnsi="仿宋_GB2312" w:eastAsia="仿宋_GB2312" w:cs="仿宋_GB2312"/>
          <w:b w:val="0"/>
          <w:bCs w:val="0"/>
          <w:color w:val="auto"/>
          <w:sz w:val="32"/>
          <w:szCs w:val="32"/>
        </w:rPr>
        <w:t>（1）合法性原则。（2）相关性原则。（3）合理性原则。（4）权责发生制原则。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成本监审程序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初审：对报送的成本资料进行初审</w:t>
      </w:r>
      <w:r>
        <w:rPr>
          <w:rFonts w:hint="eastAsia" w:ascii="仿宋_GB2312" w:hAnsi="仿宋_GB2312" w:eastAsia="仿宋_GB2312" w:cs="仿宋_GB2312"/>
          <w:b w:val="0"/>
          <w:bCs w:val="0"/>
          <w:color w:val="auto"/>
          <w:sz w:val="32"/>
          <w:szCs w:val="32"/>
          <w:lang w:eastAsia="zh-CN"/>
        </w:rPr>
        <w:t>，确认资料提供完整。</w:t>
      </w: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审核：按照成本监审相关法规规定，</w:t>
      </w:r>
      <w:r>
        <w:rPr>
          <w:rFonts w:hint="eastAsia" w:ascii="仿宋_GB2312" w:hAnsi="仿宋_GB2312" w:eastAsia="仿宋_GB2312" w:cs="仿宋_GB2312"/>
          <w:b w:val="0"/>
          <w:bCs w:val="0"/>
          <w:color w:val="auto"/>
          <w:sz w:val="32"/>
          <w:szCs w:val="32"/>
          <w:lang w:val="en-US" w:eastAsia="zh-CN"/>
        </w:rPr>
        <w:t>聘请第三方新疆中铭价格评估咨询有限责任公司对木垒县现行城市客运出租汽车运价</w:t>
      </w:r>
      <w:r>
        <w:rPr>
          <w:rFonts w:hint="eastAsia" w:ascii="仿宋_GB2312" w:hAnsi="仿宋_GB2312" w:eastAsia="仿宋_GB2312" w:cs="仿宋_GB2312"/>
          <w:b w:val="0"/>
          <w:bCs w:val="0"/>
          <w:color w:val="auto"/>
          <w:sz w:val="32"/>
          <w:szCs w:val="32"/>
        </w:rPr>
        <w:t>成本费用支出进行审核。</w:t>
      </w:r>
    </w:p>
    <w:p>
      <w:pPr>
        <w:keepNext w:val="0"/>
        <w:keepLines w:val="0"/>
        <w:pageBreakBefore w:val="0"/>
        <w:kinsoku/>
        <w:wordWrap/>
        <w:overflowPunct/>
        <w:topLinePunct w:val="0"/>
        <w:autoSpaceDE/>
        <w:autoSpaceDN/>
        <w:bidi w:val="0"/>
        <w:adjustRightInd/>
        <w:spacing w:line="560" w:lineRule="exact"/>
        <w:ind w:left="0" w:leftChars="0" w:right="0" w:rightChars="0"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实地监审：对</w:t>
      </w:r>
      <w:r>
        <w:rPr>
          <w:rFonts w:hint="eastAsia" w:ascii="仿宋_GB2312" w:hAnsi="仿宋_GB2312" w:eastAsia="仿宋_GB2312" w:cs="仿宋_GB2312"/>
          <w:b w:val="0"/>
          <w:bCs w:val="0"/>
          <w:color w:val="auto"/>
          <w:sz w:val="32"/>
          <w:szCs w:val="32"/>
          <w:lang w:eastAsia="zh-CN"/>
        </w:rPr>
        <w:t>被监审对象</w:t>
      </w:r>
      <w:r>
        <w:rPr>
          <w:rFonts w:hint="eastAsia" w:ascii="仿宋_GB2312" w:hAnsi="仿宋_GB2312" w:eastAsia="仿宋_GB2312" w:cs="仿宋_GB2312"/>
          <w:b w:val="0"/>
          <w:bCs w:val="0"/>
          <w:color w:val="auto"/>
          <w:sz w:val="32"/>
          <w:szCs w:val="32"/>
        </w:rPr>
        <w:t>的原始凭证进行实地取证、审核。</w:t>
      </w:r>
    </w:p>
    <w:p>
      <w:pPr>
        <w:keepNext w:val="0"/>
        <w:keepLines w:val="0"/>
        <w:pageBreakBefore w:val="0"/>
        <w:kinsoku/>
        <w:wordWrap/>
        <w:overflowPunct/>
        <w:topLinePunct w:val="0"/>
        <w:autoSpaceDE/>
        <w:autoSpaceDN/>
        <w:bidi w:val="0"/>
        <w:adjustRightInd/>
        <w:spacing w:line="560" w:lineRule="exact"/>
        <w:ind w:left="0" w:leftChars="0" w:right="0" w:rightChars="0"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反馈意见：提出成本</w:t>
      </w:r>
      <w:r>
        <w:rPr>
          <w:rFonts w:hint="eastAsia" w:ascii="仿宋_GB2312" w:hAnsi="仿宋_GB2312" w:eastAsia="仿宋_GB2312" w:cs="仿宋_GB2312"/>
          <w:b w:val="0"/>
          <w:bCs w:val="0"/>
          <w:color w:val="auto"/>
          <w:sz w:val="32"/>
          <w:szCs w:val="32"/>
          <w:lang w:eastAsia="zh-CN"/>
        </w:rPr>
        <w:t>审核有关</w:t>
      </w:r>
      <w:r>
        <w:rPr>
          <w:rFonts w:hint="eastAsia" w:ascii="仿宋_GB2312" w:hAnsi="仿宋_GB2312" w:eastAsia="仿宋_GB2312" w:cs="仿宋_GB2312"/>
          <w:b w:val="0"/>
          <w:bCs w:val="0"/>
          <w:color w:val="auto"/>
          <w:sz w:val="32"/>
          <w:szCs w:val="32"/>
        </w:rPr>
        <w:t>意见</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成本审核主要内容</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（一）年均里程数的确定</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根据审核人员实地记录的38辆</w:t>
      </w:r>
      <w:r>
        <w:rPr>
          <w:rFonts w:hint="eastAsia" w:ascii="仿宋_GB2312" w:hAnsi="仿宋_GB2312" w:eastAsia="仿宋_GB2312" w:cs="仿宋_GB2312"/>
          <w:b w:val="0"/>
          <w:bCs w:val="0"/>
          <w:color w:val="auto"/>
          <w:sz w:val="32"/>
          <w:szCs w:val="32"/>
          <w:lang w:eastAsia="zh-CN"/>
        </w:rPr>
        <w:t>（占全部的</w:t>
      </w:r>
      <w:r>
        <w:rPr>
          <w:rFonts w:hint="eastAsia" w:ascii="仿宋_GB2312" w:hAnsi="仿宋_GB2312" w:eastAsia="仿宋_GB2312" w:cs="仿宋_GB2312"/>
          <w:b w:val="0"/>
          <w:bCs w:val="0"/>
          <w:color w:val="auto"/>
          <w:sz w:val="32"/>
          <w:szCs w:val="32"/>
          <w:lang w:val="en-US" w:eastAsia="zh-CN"/>
        </w:rPr>
        <w:t>48%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出租车3天运行行驶的里程数测算出巡游出租车年均行驶里程数为10.45万公里。</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（二）运行成本测算情况</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运行成本包括人员工资、社会保障费、车辆气瓶检测费、机动车检测费、GPS定位系统维护费、管理费、车辆折旧、机动车保险费、车辆材料费、燃料和日常维修费等构成，经测算木垒县每辆客运出租车年服务运营总成本为19.13万元/辆·年，具体情况如下</w:t>
      </w:r>
      <w:r>
        <w:rPr>
          <w:rFonts w:hint="eastAsia" w:ascii="仿宋_GB2312" w:hAnsi="仿宋_GB2312" w:eastAsia="仿宋_GB2312" w:cs="仿宋_GB2312"/>
          <w:b w:val="0"/>
          <w:bCs w:val="0"/>
          <w:color w:val="auto"/>
          <w:sz w:val="32"/>
          <w:szCs w:val="32"/>
          <w:lang w:eastAsia="zh-CN"/>
        </w:rPr>
        <w:t>表</w:t>
      </w:r>
      <w:r>
        <w:rPr>
          <w:rFonts w:hint="eastAsia" w:ascii="仿宋_GB2312" w:hAnsi="仿宋_GB2312" w:eastAsia="仿宋_GB2312" w:cs="仿宋_GB2312"/>
          <w:b w:val="0"/>
          <w:bCs w:val="0"/>
          <w:color w:val="auto"/>
          <w:sz w:val="32"/>
          <w:szCs w:val="32"/>
        </w:rPr>
        <w:t>：</w:t>
      </w:r>
    </w:p>
    <w:p>
      <w:pPr>
        <w:autoSpaceDE w:val="0"/>
        <w:spacing w:line="600" w:lineRule="exact"/>
        <w:ind w:firstLine="643" w:firstLineChars="200"/>
        <w:jc w:val="center"/>
        <w:rPr>
          <w:rFonts w:hint="eastAsia" w:ascii="楷体" w:hAnsi="楷体" w:eastAsia="楷体"/>
          <w:b/>
          <w:bCs/>
        </w:rPr>
      </w:pPr>
      <w:r>
        <w:rPr>
          <w:rFonts w:hint="eastAsia" w:ascii="楷体" w:hAnsi="楷体" w:eastAsia="楷体"/>
          <w:b/>
          <w:bCs/>
        </w:rPr>
        <w:t>木垒县客运出租汽车服务运行成本审核表</w:t>
      </w:r>
    </w:p>
    <w:tbl>
      <w:tblPr>
        <w:tblStyle w:val="7"/>
        <w:tblW w:w="8758" w:type="dxa"/>
        <w:jc w:val="center"/>
        <w:tblInd w:w="0" w:type="dxa"/>
        <w:tblLayout w:type="fixed"/>
        <w:tblCellMar>
          <w:top w:w="0" w:type="dxa"/>
          <w:left w:w="108" w:type="dxa"/>
          <w:bottom w:w="0" w:type="dxa"/>
          <w:right w:w="108" w:type="dxa"/>
        </w:tblCellMar>
      </w:tblPr>
      <w:tblGrid>
        <w:gridCol w:w="1037"/>
        <w:gridCol w:w="1665"/>
        <w:gridCol w:w="1455"/>
        <w:gridCol w:w="4601"/>
      </w:tblGrid>
      <w:tr>
        <w:tblPrEx>
          <w:tblLayout w:type="fixed"/>
          <w:tblCellMar>
            <w:top w:w="0" w:type="dxa"/>
            <w:left w:w="108" w:type="dxa"/>
            <w:bottom w:w="0" w:type="dxa"/>
            <w:right w:w="108" w:type="dxa"/>
          </w:tblCellMar>
        </w:tblPrEx>
        <w:trPr>
          <w:trHeight w:val="634" w:hRule="atLeast"/>
          <w:jc w:val="center"/>
        </w:trPr>
        <w:tc>
          <w:tcPr>
            <w:tcW w:w="1037"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rPr>
              <w:t>序号</w:t>
            </w:r>
          </w:p>
        </w:tc>
        <w:tc>
          <w:tcPr>
            <w:tcW w:w="1665"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rPr>
              <w:t>项目名称</w:t>
            </w:r>
          </w:p>
        </w:tc>
        <w:tc>
          <w:tcPr>
            <w:tcW w:w="1455"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rPr>
              <w:t>测算值（元）</w:t>
            </w:r>
          </w:p>
        </w:tc>
        <w:tc>
          <w:tcPr>
            <w:tcW w:w="4601"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rPr>
              <w:t>测算依据</w:t>
            </w:r>
          </w:p>
        </w:tc>
      </w:tr>
      <w:tr>
        <w:tblPrEx>
          <w:tblLayout w:type="fixed"/>
          <w:tblCellMar>
            <w:top w:w="0" w:type="dxa"/>
            <w:left w:w="108" w:type="dxa"/>
            <w:bottom w:w="0" w:type="dxa"/>
            <w:right w:w="108" w:type="dxa"/>
          </w:tblCellMar>
        </w:tblPrEx>
        <w:trPr>
          <w:trHeight w:val="626"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人员工资</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115,834.50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依据木垒县统计局提供《2019年统计年鉴》木垒县社会平均工资为6435.25元/月，每辆车人员按1.5人核定。</w:t>
            </w:r>
          </w:p>
        </w:tc>
      </w:tr>
      <w:tr>
        <w:tblPrEx>
          <w:tblLayout w:type="fixed"/>
          <w:tblCellMar>
            <w:top w:w="0" w:type="dxa"/>
            <w:left w:w="108" w:type="dxa"/>
            <w:bottom w:w="0" w:type="dxa"/>
            <w:right w:w="108" w:type="dxa"/>
          </w:tblCellMar>
        </w:tblPrEx>
        <w:trPr>
          <w:trHeight w:val="858"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社会保险费</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 xml:space="preserve">18,008.92 </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依据木垒哈萨克自治县宏远汽车运输有限责任公司提供的《新人社函〔2021〕199号》及《2021年社会保险缴费比例标准》最低缴费基数3681元核定失业保险0.5%，基本医疗9.8%，工伤0.88%，养老16%计提</w:t>
            </w:r>
          </w:p>
        </w:tc>
      </w:tr>
      <w:tr>
        <w:tblPrEx>
          <w:tblLayout w:type="fixed"/>
          <w:tblCellMar>
            <w:top w:w="0" w:type="dxa"/>
            <w:left w:w="108" w:type="dxa"/>
            <w:bottom w:w="0" w:type="dxa"/>
            <w:right w:w="108" w:type="dxa"/>
          </w:tblCellMar>
        </w:tblPrEx>
        <w:trPr>
          <w:trHeight w:val="785"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3</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车辆气瓶检测费</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220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依据木垒县恒安气瓶检测站提供的检测票据，每辆车检测费为440元，每两年检测一次。</w:t>
            </w:r>
          </w:p>
        </w:tc>
      </w:tr>
      <w:tr>
        <w:tblPrEx>
          <w:tblLayout w:type="fixed"/>
          <w:tblCellMar>
            <w:top w:w="0" w:type="dxa"/>
            <w:left w:w="108" w:type="dxa"/>
            <w:bottom w:w="0" w:type="dxa"/>
            <w:right w:w="108" w:type="dxa"/>
          </w:tblCellMar>
        </w:tblPrEx>
        <w:trPr>
          <w:trHeight w:val="868"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4</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机动车检测（年审）</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380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依据木垒县双利机动车辆检测有限责任公司提供的检测票据，每辆车检测费为380元，每年检测一次。</w:t>
            </w:r>
          </w:p>
        </w:tc>
      </w:tr>
      <w:tr>
        <w:tblPrEx>
          <w:tblLayout w:type="fixed"/>
          <w:tblCellMar>
            <w:top w:w="0" w:type="dxa"/>
            <w:left w:w="108" w:type="dxa"/>
            <w:bottom w:w="0" w:type="dxa"/>
            <w:right w:w="108" w:type="dxa"/>
          </w:tblCellMar>
        </w:tblPrEx>
        <w:trPr>
          <w:trHeight w:val="823"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5</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GPS定位系统维护费</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600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FF0000"/>
                <w:sz w:val="18"/>
                <w:szCs w:val="18"/>
              </w:rPr>
            </w:pPr>
            <w:r>
              <w:rPr>
                <w:rFonts w:hint="eastAsia" w:ascii="宋体" w:hAnsi="宋体" w:eastAsia="宋体"/>
                <w:color w:val="000000"/>
                <w:kern w:val="0"/>
                <w:sz w:val="18"/>
                <w:szCs w:val="18"/>
              </w:rPr>
              <w:t>依据木垒哈萨克自治县宏远汽车运输有限责任公司与玛纳斯县万邦文化传媒有限公司签订的《GPS服务公司协议》，GPS定位系统维护费600元/年·车。</w:t>
            </w:r>
          </w:p>
        </w:tc>
      </w:tr>
      <w:tr>
        <w:tblPrEx>
          <w:tblLayout w:type="fixed"/>
          <w:tblCellMar>
            <w:top w:w="0" w:type="dxa"/>
            <w:left w:w="108" w:type="dxa"/>
            <w:bottom w:w="0" w:type="dxa"/>
            <w:right w:w="108" w:type="dxa"/>
          </w:tblCellMar>
        </w:tblPrEx>
        <w:trPr>
          <w:trHeight w:val="584"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6</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管理费</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1,080.00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FF0000"/>
                <w:sz w:val="18"/>
                <w:szCs w:val="18"/>
              </w:rPr>
            </w:pPr>
            <w:r>
              <w:rPr>
                <w:rFonts w:hint="eastAsia" w:ascii="宋体" w:hAnsi="宋体" w:eastAsia="宋体"/>
                <w:color w:val="000000"/>
                <w:kern w:val="0"/>
                <w:sz w:val="18"/>
                <w:szCs w:val="18"/>
              </w:rPr>
              <w:t>依据昌州价费字〔1999〕25号文件及现行实际收取出租汽车管理费用测算，每车管理费为90元/月。</w:t>
            </w:r>
          </w:p>
        </w:tc>
      </w:tr>
      <w:tr>
        <w:tblPrEx>
          <w:tblLayout w:type="fixed"/>
          <w:tblCellMar>
            <w:top w:w="0" w:type="dxa"/>
            <w:left w:w="108" w:type="dxa"/>
            <w:bottom w:w="0" w:type="dxa"/>
            <w:right w:w="108" w:type="dxa"/>
          </w:tblCellMar>
        </w:tblPrEx>
        <w:trPr>
          <w:trHeight w:val="1063"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7</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车辆折旧</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 xml:space="preserve">9,415.56 </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自治区发改委《自治区定价成本监审固定资产折旧一般技术规范（试行）的通知》（新发改成本〔2012〕784号）出租车折旧按原值的8年折旧，残值率按5%；资产原值按照两家公司提供的车辆购置发票的平均车辆金额73045.71元+车辆购置税6243.23元核定</w:t>
            </w:r>
          </w:p>
        </w:tc>
      </w:tr>
      <w:tr>
        <w:tblPrEx>
          <w:tblLayout w:type="fixed"/>
          <w:tblCellMar>
            <w:top w:w="0" w:type="dxa"/>
            <w:left w:w="108" w:type="dxa"/>
            <w:bottom w:w="0" w:type="dxa"/>
            <w:right w:w="108" w:type="dxa"/>
          </w:tblCellMar>
        </w:tblPrEx>
        <w:trPr>
          <w:trHeight w:val="803"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8</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机动车保险</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9,892.58</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依据中华联合财产保险股份有限公司木垒县支公司提供的木垒哈萨克自治县宏远汽车运输有限责任公司购买保险收费标准测算出保险费0.989万元/年·车</w:t>
            </w:r>
          </w:p>
        </w:tc>
      </w:tr>
      <w:tr>
        <w:tblPrEx>
          <w:tblLayout w:type="fixed"/>
          <w:tblCellMar>
            <w:top w:w="0" w:type="dxa"/>
            <w:left w:w="108" w:type="dxa"/>
            <w:bottom w:w="0" w:type="dxa"/>
            <w:right w:w="108" w:type="dxa"/>
          </w:tblCellMar>
        </w:tblPrEx>
        <w:trPr>
          <w:trHeight w:val="823"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9</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车辆材料费</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7,330.00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依据两家运营企业提供的资料核定出租车轮胎每年更换两次、机油及机油格每年更换12次、座包套冬夏季每两年更换一套及每年车辆清洗费测算出车辆材料费0.733万元/年·车</w:t>
            </w:r>
          </w:p>
        </w:tc>
      </w:tr>
      <w:tr>
        <w:tblPrEx>
          <w:tblLayout w:type="fixed"/>
          <w:tblCellMar>
            <w:top w:w="0" w:type="dxa"/>
            <w:left w:w="108" w:type="dxa"/>
            <w:bottom w:w="0" w:type="dxa"/>
            <w:right w:w="108" w:type="dxa"/>
          </w:tblCellMar>
        </w:tblPrEx>
        <w:trPr>
          <w:trHeight w:val="757"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10</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燃料</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26,953.83</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依据两家运营公司提供的38辆车实地测量资料及说明出租车平均加满一罐气的燃料费为49元，可以行驶190公里，每公里消耗0.258元，测算出燃气费2.695万元/年·车</w:t>
            </w:r>
          </w:p>
        </w:tc>
      </w:tr>
      <w:tr>
        <w:tblPrEx>
          <w:tblLayout w:type="fixed"/>
          <w:tblCellMar>
            <w:top w:w="0" w:type="dxa"/>
            <w:left w:w="108" w:type="dxa"/>
            <w:bottom w:w="0" w:type="dxa"/>
            <w:right w:w="108" w:type="dxa"/>
          </w:tblCellMar>
        </w:tblPrEx>
        <w:trPr>
          <w:trHeight w:val="1028"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11</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日常维修</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rPr>
              <w:t>1585.78</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ascii="宋体" w:hAnsi="宋体" w:eastAsia="宋体"/>
                <w:color w:val="000000"/>
                <w:sz w:val="18"/>
                <w:szCs w:val="18"/>
              </w:rPr>
            </w:pPr>
            <w:r>
              <w:rPr>
                <w:rFonts w:hint="eastAsia" w:ascii="宋体" w:hAnsi="宋体" w:eastAsia="宋体"/>
                <w:color w:val="000000"/>
                <w:kern w:val="0"/>
                <w:sz w:val="18"/>
                <w:szCs w:val="18"/>
              </w:rPr>
              <w:t>按固定资产原值的2%计提维修费，原值为79288.9元。</w:t>
            </w:r>
          </w:p>
        </w:tc>
      </w:tr>
      <w:tr>
        <w:tblPrEx>
          <w:tblLayout w:type="fixed"/>
          <w:tblCellMar>
            <w:top w:w="0" w:type="dxa"/>
            <w:left w:w="108" w:type="dxa"/>
            <w:bottom w:w="0" w:type="dxa"/>
            <w:right w:w="108" w:type="dxa"/>
          </w:tblCellMar>
        </w:tblPrEx>
        <w:trPr>
          <w:trHeight w:val="1028" w:hRule="atLeast"/>
          <w:jc w:val="center"/>
        </w:trPr>
        <w:tc>
          <w:tcPr>
            <w:tcW w:w="1037"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olor w:val="000000"/>
                <w:kern w:val="0"/>
                <w:sz w:val="18"/>
                <w:szCs w:val="18"/>
              </w:rPr>
            </w:pPr>
            <w:r>
              <w:rPr>
                <w:rFonts w:hint="eastAsia" w:ascii="宋体" w:hAnsi="宋体" w:eastAsia="宋体"/>
                <w:color w:val="000000"/>
                <w:kern w:val="0"/>
                <w:sz w:val="18"/>
                <w:szCs w:val="18"/>
              </w:rPr>
              <w:t>1</w:t>
            </w:r>
            <w:r>
              <w:rPr>
                <w:rFonts w:hint="eastAsia" w:ascii="宋体" w:hAnsi="宋体" w:eastAsia="宋体"/>
                <w:color w:val="000000"/>
                <w:kern w:val="0"/>
                <w:sz w:val="18"/>
                <w:szCs w:val="18"/>
                <w:lang w:val="en-US" w:eastAsia="zh-CN"/>
              </w:rPr>
              <w:t>2</w:t>
            </w:r>
          </w:p>
        </w:tc>
        <w:tc>
          <w:tcPr>
            <w:tcW w:w="166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eastAsia="zh-CN"/>
              </w:rPr>
            </w:pPr>
            <w:r>
              <w:rPr>
                <w:rFonts w:hint="eastAsia" w:ascii="宋体" w:hAnsi="宋体" w:eastAsia="宋体"/>
                <w:color w:val="000000"/>
                <w:kern w:val="0"/>
                <w:sz w:val="18"/>
                <w:szCs w:val="18"/>
                <w:lang w:eastAsia="zh-CN"/>
              </w:rPr>
              <w:t>合计</w:t>
            </w:r>
          </w:p>
        </w:tc>
        <w:tc>
          <w:tcPr>
            <w:tcW w:w="1455" w:type="dxa"/>
            <w:tcBorders>
              <w:top w:val="nil"/>
              <w:left w:val="nil"/>
              <w:bottom w:val="single" w:color="000000" w:sz="8" w:space="0"/>
              <w:right w:val="single" w:color="000000" w:sz="8" w:space="0"/>
            </w:tcBorders>
            <w:noWrap/>
            <w:vAlign w:val="center"/>
          </w:tcPr>
          <w:p>
            <w:pPr>
              <w:widowControl/>
              <w:jc w:val="right"/>
              <w:textAlignment w:val="center"/>
              <w:rPr>
                <w:rFonts w:ascii="宋体" w:hAnsi="宋体" w:eastAsia="宋体"/>
                <w:color w:val="000000"/>
                <w:sz w:val="20"/>
                <w:szCs w:val="20"/>
              </w:rPr>
            </w:pPr>
            <w:r>
              <w:rPr>
                <w:rFonts w:hint="eastAsia" w:ascii="宋体" w:hAnsi="宋体" w:eastAsia="宋体"/>
                <w:color w:val="000000"/>
                <w:kern w:val="0"/>
                <w:sz w:val="20"/>
                <w:szCs w:val="20"/>
                <w:lang w:val="en-US" w:eastAsia="zh-CN"/>
              </w:rPr>
              <w:t>191300</w:t>
            </w:r>
          </w:p>
        </w:tc>
        <w:tc>
          <w:tcPr>
            <w:tcW w:w="4601" w:type="dxa"/>
            <w:tcBorders>
              <w:top w:val="nil"/>
              <w:left w:val="nil"/>
              <w:bottom w:val="single" w:color="000000" w:sz="8" w:space="0"/>
              <w:right w:val="single" w:color="000000" w:sz="8" w:space="0"/>
            </w:tcBorders>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总费用/里程：191300/104500=1.83元</w:t>
            </w: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七、成本核增核减情况</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经调查核定数据与企业上报数据</w:t>
      </w:r>
      <w:r>
        <w:rPr>
          <w:rFonts w:hint="eastAsia" w:ascii="仿宋_GB2312" w:hAnsi="仿宋_GB2312" w:eastAsia="仿宋_GB2312" w:cs="仿宋_GB2312"/>
          <w:b w:val="0"/>
          <w:bCs w:val="0"/>
          <w:color w:val="auto"/>
          <w:sz w:val="32"/>
          <w:szCs w:val="32"/>
          <w:lang w:eastAsia="zh-CN"/>
        </w:rPr>
        <w:t>进行审核，</w:t>
      </w:r>
      <w:r>
        <w:rPr>
          <w:rFonts w:hint="eastAsia" w:ascii="仿宋_GB2312" w:hAnsi="仿宋_GB2312" w:eastAsia="仿宋_GB2312" w:cs="仿宋_GB2312"/>
          <w:b w:val="0"/>
          <w:bCs w:val="0"/>
          <w:color w:val="auto"/>
          <w:sz w:val="32"/>
          <w:szCs w:val="32"/>
          <w:lang w:val="en-US" w:eastAsia="zh-CN"/>
        </w:rPr>
        <w:t>核减成本33098.46元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1、核减费用计：36722.67 元；其中：驾驶员工资10,165.50元、社会保险2,259.08元、继续教育：150.00元、体检费：280.00元、车辆购置费：8,000.00元、车辆停车费：1,000.00元、其他运营费用：4,000.00元、车辆安全检测：980.00元、车辆安全检测费：170.00元、计价器检测费：700.00元、机动车检测（年审）：180.00元、车辆折旧：84.44元、车辆材料费：4,670.00元、燃料：3,646.17元、车辆使用费（车船税）：360.00元、税金：77.48元。2、核增费用计：3624.21元；其中机动车保险：2,038.43元、日常维修：1,585.78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八、成本监审结论</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经核算，木垒县城市客运出租汽车单车单位里程行驶平均成本为1.83元/车·公里</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九、说明</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（一）本次出租车营运成本调查采用实测、抽样、座谈、问卷、查询等多种方式相结合。既要考虑直接成本，又要考虑间接成本；既要考虑目前支付的成本，又要考虑将来可能支付的成本。</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（二）本监审机构及参加本次监审的工作人员与被监审</w:t>
      </w:r>
      <w:r>
        <w:rPr>
          <w:rFonts w:hint="eastAsia" w:ascii="仿宋_GB2312" w:hAnsi="仿宋_GB2312" w:eastAsia="仿宋_GB2312" w:cs="仿宋_GB2312"/>
          <w:b w:val="0"/>
          <w:bCs w:val="0"/>
          <w:color w:val="auto"/>
          <w:sz w:val="32"/>
          <w:szCs w:val="32"/>
          <w:lang w:eastAsia="zh-CN"/>
        </w:rPr>
        <w:t>对象</w:t>
      </w:r>
      <w:r>
        <w:rPr>
          <w:rFonts w:hint="eastAsia" w:ascii="仿宋_GB2312" w:hAnsi="仿宋_GB2312" w:eastAsia="仿宋_GB2312" w:cs="仿宋_GB2312"/>
          <w:b w:val="0"/>
          <w:bCs w:val="0"/>
          <w:color w:val="auto"/>
          <w:sz w:val="32"/>
          <w:szCs w:val="32"/>
        </w:rPr>
        <w:t>无任何利害关系。</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en-US" w:eastAsia="zh-CN"/>
        </w:rPr>
        <w:t>本结论为全县出租车在正常运营条件下的社会平均成本，与单个出租车实际运营成本有差异。 </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本监审结论仅作为政府价格管理部门制定价格的基本依据，不作它用。 </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val="0"/>
        <w:autoSpaceDN/>
        <w:bidi w:val="0"/>
        <w:spacing w:line="560" w:lineRule="exact"/>
        <w:ind w:firstLine="640" w:firstLineChars="200"/>
        <w:textAlignment w:val="auto"/>
      </w:pPr>
      <w:r>
        <w:rPr>
          <w:rFonts w:hint="eastAsia" w:ascii="仿宋_GB2312" w:hAnsi="仿宋_GB2312" w:eastAsia="仿宋_GB2312" w:cs="仿宋_GB2312"/>
          <w:b w:val="0"/>
          <w:bCs w:val="0"/>
          <w:color w:val="auto"/>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WI2ZTExYjM3Zjg5ZmFkMmU4MTk2ZGU1YTBhMmQifQ=="/>
  </w:docVars>
  <w:rsids>
    <w:rsidRoot w:val="00367D01"/>
    <w:rsid w:val="00367D01"/>
    <w:rsid w:val="007B2550"/>
    <w:rsid w:val="00AB0D4C"/>
    <w:rsid w:val="00AD4E80"/>
    <w:rsid w:val="0102314F"/>
    <w:rsid w:val="02B873E9"/>
    <w:rsid w:val="03546191"/>
    <w:rsid w:val="06066108"/>
    <w:rsid w:val="072747FE"/>
    <w:rsid w:val="0D133560"/>
    <w:rsid w:val="0D586E73"/>
    <w:rsid w:val="15B0292B"/>
    <w:rsid w:val="1F7C1719"/>
    <w:rsid w:val="255B5A58"/>
    <w:rsid w:val="28175483"/>
    <w:rsid w:val="2A89071A"/>
    <w:rsid w:val="2C60223E"/>
    <w:rsid w:val="33D86663"/>
    <w:rsid w:val="34F40943"/>
    <w:rsid w:val="36007C30"/>
    <w:rsid w:val="36A56FCF"/>
    <w:rsid w:val="3ADB091E"/>
    <w:rsid w:val="3FC623F6"/>
    <w:rsid w:val="3FEE78D2"/>
    <w:rsid w:val="40B05AAD"/>
    <w:rsid w:val="47B500EF"/>
    <w:rsid w:val="4D1C0D8F"/>
    <w:rsid w:val="58EC42AF"/>
    <w:rsid w:val="60E92681"/>
    <w:rsid w:val="626A1B08"/>
    <w:rsid w:val="68A65864"/>
    <w:rsid w:val="6F5E47A3"/>
    <w:rsid w:val="71DA7D60"/>
    <w:rsid w:val="73DA76B9"/>
    <w:rsid w:val="7BEA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9"/>
    <w:qFormat/>
    <w:uiPriority w:val="99"/>
    <w:pPr>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0"/>
    <w:unhideWhenUsed/>
    <w:qFormat/>
    <w:uiPriority w:val="99"/>
    <w:pPr>
      <w:spacing w:line="560" w:lineRule="atLeast"/>
      <w:ind w:firstLine="600" w:firstLineChars="2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customStyle="1" w:styleId="9">
    <w:name w:val="标题 2 Char"/>
    <w:basedOn w:val="8"/>
    <w:link w:val="2"/>
    <w:qFormat/>
    <w:uiPriority w:val="99"/>
    <w:rPr>
      <w:rFonts w:ascii="宋体" w:hAnsi="宋体" w:eastAsia="宋体" w:cs="宋体"/>
      <w:b/>
      <w:bCs/>
      <w:kern w:val="0"/>
      <w:sz w:val="36"/>
      <w:szCs w:val="36"/>
    </w:rPr>
  </w:style>
  <w:style w:type="character" w:customStyle="1" w:styleId="10">
    <w:name w:val="正文文本缩进 Char"/>
    <w:basedOn w:val="8"/>
    <w:link w:val="3"/>
    <w:qFormat/>
    <w:uiPriority w:val="99"/>
    <w:rPr>
      <w:rFonts w:ascii="Times New Roman" w:hAnsi="Times New Roman" w:eastAsia="仿宋_GB2312" w:cs="Times New Roman"/>
      <w:sz w:val="30"/>
      <w:szCs w:val="30"/>
    </w:rPr>
  </w:style>
  <w:style w:type="paragraph" w:styleId="11">
    <w:name w:val="List Paragraph"/>
    <w:basedOn w:val="1"/>
    <w:qFormat/>
    <w:uiPriority w:val="99"/>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3976</Words>
  <Characters>4489</Characters>
  <Lines>47</Lines>
  <Paragraphs>13</Paragraphs>
  <TotalTime>10</TotalTime>
  <ScaleCrop>false</ScaleCrop>
  <LinksUpToDate>false</LinksUpToDate>
  <CharactersWithSpaces>4572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2022-06-22T11:33:00Z</dcterms:created>
  <dc:creator>Administrator</dc:creator>
  <cp:lastModifiedBy>Administrator</cp:lastModifiedBy>
  <dcterms:modified xsi:type="dcterms:W3CDTF">2022-06-30T03:44:13Z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42B5A67B6A604C82AE919AAAF7090908</vt:lpwstr>
  </property>
</Properties>
</file>