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黑体" w:hAnsi="黑体" w:eastAsia="黑体"/>
          <w:sz w:val="32"/>
          <w:szCs w:val="32"/>
        </w:rPr>
      </w:pPr>
      <w:r>
        <w:rPr>
          <w:rFonts w:hint="eastAsia" w:ascii="黑体" w:hAnsi="黑体" w:eastAsia="黑体"/>
          <w:sz w:val="32"/>
          <w:szCs w:val="32"/>
        </w:rPr>
        <w:t>附件1：</w:t>
      </w:r>
    </w:p>
    <w:p>
      <w:pPr>
        <w:spacing w:line="580" w:lineRule="exact"/>
        <w:jc w:val="center"/>
        <w:rPr>
          <w:rFonts w:ascii="方正小标宋_GBK" w:hAnsi="宋体" w:eastAsia="方正小标宋_GBK"/>
          <w:sz w:val="44"/>
          <w:szCs w:val="44"/>
        </w:rPr>
      </w:pPr>
    </w:p>
    <w:p>
      <w:pPr>
        <w:spacing w:line="580" w:lineRule="exact"/>
        <w:jc w:val="center"/>
        <w:rPr>
          <w:rFonts w:ascii="方正小标宋_GBK" w:hAnsi="宋体" w:eastAsia="方正小标宋_GBK"/>
          <w:sz w:val="44"/>
          <w:szCs w:val="44"/>
        </w:rPr>
      </w:pPr>
      <w:r>
        <w:rPr>
          <w:rFonts w:hint="eastAsia" w:ascii="方正小标宋_GBK" w:hAnsi="宋体" w:eastAsia="方正小标宋_GBK"/>
          <w:sz w:val="44"/>
          <w:szCs w:val="44"/>
        </w:rPr>
        <w:t>2017年度木垒县木垒镇人民政府部门</w:t>
      </w:r>
    </w:p>
    <w:p>
      <w:pPr>
        <w:spacing w:line="580" w:lineRule="exact"/>
        <w:jc w:val="center"/>
        <w:rPr>
          <w:rFonts w:ascii="方正小标宋_GBK" w:hAnsi="宋体" w:eastAsia="方正小标宋_GBK"/>
          <w:sz w:val="44"/>
          <w:szCs w:val="44"/>
        </w:rPr>
      </w:pPr>
      <w:r>
        <w:rPr>
          <w:rFonts w:hint="eastAsia" w:ascii="方正小标宋_GBK" w:hAnsi="宋体" w:eastAsia="方正小标宋_GBK"/>
          <w:sz w:val="44"/>
          <w:szCs w:val="44"/>
        </w:rPr>
        <w:t>决算公开说明</w:t>
      </w:r>
    </w:p>
    <w:p>
      <w:pPr>
        <w:spacing w:line="580" w:lineRule="exact"/>
        <w:ind w:firstLine="640" w:firstLineChars="200"/>
        <w:rPr>
          <w:rFonts w:ascii="仿宋_GB2312" w:hAnsi="宋体" w:eastAsia="仿宋_GB2312"/>
          <w:sz w:val="32"/>
          <w:szCs w:val="32"/>
        </w:rPr>
      </w:pPr>
    </w:p>
    <w:p>
      <w:pPr>
        <w:spacing w:line="580" w:lineRule="exact"/>
        <w:jc w:val="center"/>
        <w:rPr>
          <w:rFonts w:ascii="华文中宋" w:hAnsi="华文中宋" w:eastAsia="华文中宋"/>
          <w:b/>
          <w:kern w:val="0"/>
          <w:sz w:val="32"/>
          <w:szCs w:val="32"/>
        </w:rPr>
      </w:pPr>
      <w:r>
        <w:rPr>
          <w:rFonts w:hint="eastAsia" w:ascii="华文中宋" w:hAnsi="华文中宋" w:eastAsia="华文中宋"/>
          <w:b/>
          <w:kern w:val="0"/>
          <w:sz w:val="32"/>
          <w:szCs w:val="32"/>
        </w:rPr>
        <w:t>目  录</w:t>
      </w:r>
    </w:p>
    <w:p>
      <w:pPr>
        <w:spacing w:line="580" w:lineRule="exact"/>
        <w:ind w:firstLine="643" w:firstLineChars="200"/>
        <w:rPr>
          <w:rFonts w:ascii="仿宋_GB2312" w:hAnsi="宋体" w:eastAsia="仿宋_GB2312"/>
          <w:b/>
          <w:kern w:val="0"/>
          <w:sz w:val="32"/>
          <w:szCs w:val="32"/>
        </w:rPr>
      </w:pP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w:t>
      </w:r>
      <w:r>
        <w:rPr>
          <w:rFonts w:hint="eastAsia" w:ascii="黑体" w:hAnsi="黑体" w:eastAsia="黑体"/>
          <w:sz w:val="32"/>
          <w:szCs w:val="32"/>
        </w:rPr>
        <w:t>木垒镇人民政府</w:t>
      </w:r>
      <w:r>
        <w:rPr>
          <w:rFonts w:hint="eastAsia" w:ascii="黑体" w:hAnsi="黑体" w:eastAsia="黑体"/>
          <w:kern w:val="0"/>
          <w:sz w:val="32"/>
          <w:szCs w:val="32"/>
        </w:rPr>
        <w:t>概况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一、主要职能、机构设置及人员情况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部门决算单位构成</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 xml:space="preserve">第二部分 </w:t>
      </w:r>
      <w:r>
        <w:rPr>
          <w:rFonts w:hint="eastAsia" w:ascii="黑体" w:hAnsi="黑体" w:eastAsia="黑体"/>
          <w:sz w:val="32"/>
          <w:szCs w:val="32"/>
        </w:rPr>
        <w:t>木垒镇人民政府</w:t>
      </w:r>
      <w:r>
        <w:rPr>
          <w:rFonts w:hint="eastAsia" w:ascii="黑体" w:hAnsi="黑体" w:eastAsia="黑体"/>
          <w:kern w:val="0"/>
          <w:sz w:val="32"/>
          <w:szCs w:val="32"/>
        </w:rPr>
        <w:t>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8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部门决算报表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二、部门收支总体情况（11张）：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《行政事业类项目收入支出决算表》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《基本建设类项目收入支出决算表》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《财政专户管理资金收入支出决算表》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三、财政拨款收支情况（9张）：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《一般公共预算财政拨款项目支出决算明细表》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四、单位资产负责情况（1张）：《资产负债简表》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五、部门决算附表（5张）：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《资产情况表》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《国有资产收益征缴情况表》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《基本数字表》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《机构人员情况表》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《非税收入征缴情况表》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六、填报说明附表（2张）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《部门决算相关信息统计表》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《政府采购情况表》</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七、“三公”经费支出情况(1张)：</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《2017年度一般公共预算“三公”经费支出情况表》</w:t>
      </w:r>
    </w:p>
    <w:p>
      <w:pPr>
        <w:spacing w:line="520" w:lineRule="exact"/>
        <w:jc w:val="center"/>
        <w:rPr>
          <w:rFonts w:ascii="黑体" w:hAnsi="黑体" w:eastAsia="黑体"/>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第一部分 部门单位概况</w:t>
      </w:r>
    </w:p>
    <w:p>
      <w:pPr>
        <w:numPr>
          <w:ilvl w:val="0"/>
          <w:numId w:val="1"/>
        </w:numPr>
        <w:spacing w:line="500" w:lineRule="exact"/>
        <w:ind w:firstLine="640" w:firstLineChars="200"/>
        <w:rPr>
          <w:rFonts w:ascii="仿宋_GB2312" w:eastAsia="仿宋_GB2312"/>
          <w:sz w:val="32"/>
          <w:szCs w:val="32"/>
        </w:rPr>
      </w:pPr>
      <w:r>
        <w:rPr>
          <w:rFonts w:hint="eastAsia" w:ascii="仿宋_GB2312" w:eastAsia="仿宋_GB2312"/>
          <w:sz w:val="32"/>
          <w:szCs w:val="32"/>
        </w:rPr>
        <w:t>部门单位基本情况</w:t>
      </w:r>
    </w:p>
    <w:p>
      <w:pPr>
        <w:pStyle w:val="6"/>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木垒镇人民政府地处天山北麓照壁山下，总面积7.5平方公里，是自治县政治、经济、文化、教育中心。全镇总人口9392户22734人，有哈、汉、维等14个民族组成,其中少数民族6126人，占总人口的27%。全镇辖六个社区党总支，一个机关党支部，31个网格党支部，机关、社区干部共147名，六个社区警务室配有民警6人，协警18人。辖区有111个机关、企事业单位，民族宗教活动场所3处。</w:t>
      </w:r>
    </w:p>
    <w:p>
      <w:pPr>
        <w:pStyle w:val="6"/>
        <w:ind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1、镇党委主要职能</w:t>
      </w:r>
    </w:p>
    <w:p>
      <w:pPr>
        <w:pStyle w:val="6"/>
        <w:jc w:val="left"/>
        <w:rPr>
          <w:rFonts w:ascii="仿宋_GB2312" w:hAnsi="仿宋" w:eastAsia="仿宋_GB2312" w:cs="仿宋"/>
          <w:sz w:val="32"/>
          <w:szCs w:val="32"/>
        </w:rPr>
      </w:pPr>
      <w:r>
        <w:rPr>
          <w:rFonts w:hint="eastAsia" w:ascii="仿宋_GB2312" w:hAnsi="仿宋" w:eastAsia="仿宋_GB2312" w:cs="仿宋"/>
          <w:sz w:val="32"/>
          <w:szCs w:val="32"/>
        </w:rPr>
        <w:t xml:space="preserve">   （1）宣传和贯彻执行党的路线、方针、政策，贯彻执行上级党组织和本级党员代表大会的决议、决定。</w:t>
      </w:r>
    </w:p>
    <w:p>
      <w:pPr>
        <w:pStyle w:val="6"/>
        <w:jc w:val="left"/>
        <w:rPr>
          <w:rFonts w:ascii="仿宋_GB2312" w:hAnsi="仿宋" w:eastAsia="仿宋_GB2312" w:cs="仿宋"/>
          <w:sz w:val="32"/>
          <w:szCs w:val="32"/>
        </w:rPr>
      </w:pPr>
      <w:r>
        <w:rPr>
          <w:rFonts w:hint="eastAsia" w:ascii="仿宋_GB2312" w:hAnsi="仿宋" w:eastAsia="仿宋_GB2312" w:cs="仿宋"/>
          <w:sz w:val="32"/>
          <w:szCs w:val="32"/>
        </w:rPr>
        <w:t xml:space="preserve">  （2）讨论决定本镇经济和社会发展中的重大问题，并组织、协调、督促实施。</w:t>
      </w:r>
    </w:p>
    <w:p>
      <w:pPr>
        <w:pStyle w:val="6"/>
        <w:jc w:val="left"/>
        <w:rPr>
          <w:rFonts w:ascii="仿宋_GB2312" w:hAnsi="仿宋" w:eastAsia="仿宋_GB2312" w:cs="仿宋"/>
          <w:sz w:val="32"/>
          <w:szCs w:val="32"/>
        </w:rPr>
      </w:pPr>
      <w:r>
        <w:rPr>
          <w:rFonts w:hint="eastAsia" w:ascii="仿宋_GB2312" w:hAnsi="仿宋" w:eastAsia="仿宋_GB2312" w:cs="仿宋"/>
          <w:sz w:val="32"/>
          <w:szCs w:val="32"/>
        </w:rPr>
        <w:t xml:space="preserve">  （3）领导镇政府机关和群众组织，支持和保证其依照国家法律法规及各自章程充分行使职权。</w:t>
      </w:r>
    </w:p>
    <w:p>
      <w:pPr>
        <w:pStyle w:val="6"/>
        <w:ind w:firstLine="600"/>
        <w:jc w:val="left"/>
        <w:rPr>
          <w:rFonts w:ascii="仿宋_GB2312" w:hAnsi="仿宋" w:eastAsia="仿宋_GB2312" w:cs="仿宋"/>
          <w:sz w:val="32"/>
          <w:szCs w:val="32"/>
        </w:rPr>
      </w:pPr>
      <w:r>
        <w:rPr>
          <w:rFonts w:hint="eastAsia" w:ascii="仿宋_GB2312" w:hAnsi="仿宋" w:eastAsia="仿宋_GB2312" w:cs="仿宋"/>
          <w:sz w:val="32"/>
          <w:szCs w:val="32"/>
        </w:rPr>
        <w:t xml:space="preserve">（4）加强镇党委自身建设和以党总支为核心的社区居委会组织建设。 </w:t>
      </w:r>
    </w:p>
    <w:p>
      <w:pPr>
        <w:pStyle w:val="6"/>
        <w:ind w:firstLine="600"/>
        <w:jc w:val="left"/>
        <w:rPr>
          <w:rFonts w:ascii="仿宋_GB2312" w:hAnsi="仿宋" w:eastAsia="仿宋_GB2312" w:cs="仿宋"/>
          <w:sz w:val="32"/>
          <w:szCs w:val="32"/>
        </w:rPr>
      </w:pPr>
      <w:r>
        <w:rPr>
          <w:rFonts w:hint="eastAsia" w:ascii="仿宋_GB2312" w:hAnsi="仿宋" w:eastAsia="仿宋_GB2312" w:cs="仿宋"/>
          <w:sz w:val="32"/>
          <w:szCs w:val="32"/>
        </w:rPr>
        <w:t>（5）按照干部管理权限，负责干部的教育、培养、选拔和监督工作。</w:t>
      </w:r>
    </w:p>
    <w:p>
      <w:pPr>
        <w:pStyle w:val="6"/>
        <w:ind w:firstLine="600"/>
        <w:jc w:val="left"/>
        <w:rPr>
          <w:rFonts w:ascii="仿宋_GB2312" w:hAnsi="仿宋" w:eastAsia="仿宋_GB2312" w:cs="仿宋"/>
          <w:sz w:val="32"/>
          <w:szCs w:val="32"/>
        </w:rPr>
      </w:pPr>
      <w:r>
        <w:rPr>
          <w:rFonts w:hint="eastAsia" w:ascii="仿宋_GB2312" w:hAnsi="仿宋" w:eastAsia="仿宋_GB2312" w:cs="仿宋"/>
          <w:sz w:val="32"/>
          <w:szCs w:val="32"/>
        </w:rPr>
        <w:t>（6）领导本镇党的组织建设、党风廉政建设和反腐败工作、社会主义民主法制建设和精神文明建设，做好社会管理综合治理、民族宗教、党管武装、计划生育和目标管理绩效考评等工作。</w:t>
      </w:r>
    </w:p>
    <w:p>
      <w:pPr>
        <w:pStyle w:val="6"/>
        <w:ind w:firstLine="600"/>
        <w:jc w:val="left"/>
        <w:rPr>
          <w:rFonts w:ascii="仿宋_GB2312" w:hAnsi="仿宋" w:eastAsia="仿宋_GB2312" w:cs="仿宋"/>
          <w:sz w:val="32"/>
          <w:szCs w:val="32"/>
        </w:rPr>
      </w:pPr>
      <w:r>
        <w:rPr>
          <w:rFonts w:hint="eastAsia" w:ascii="仿宋_GB2312" w:hAnsi="仿宋" w:eastAsia="仿宋_GB2312" w:cs="仿宋"/>
          <w:sz w:val="32"/>
          <w:szCs w:val="32"/>
        </w:rPr>
        <w:t>（7）承办上级党委交办的其他事项。</w:t>
      </w:r>
    </w:p>
    <w:p>
      <w:pPr>
        <w:pStyle w:val="6"/>
        <w:ind w:firstLine="800" w:firstLineChars="250"/>
        <w:jc w:val="left"/>
        <w:rPr>
          <w:rFonts w:ascii="仿宋_GB2312" w:hAnsi="仿宋" w:eastAsia="仿宋_GB2312" w:cs="仿宋"/>
          <w:sz w:val="32"/>
          <w:szCs w:val="32"/>
        </w:rPr>
      </w:pPr>
      <w:r>
        <w:rPr>
          <w:rFonts w:hint="eastAsia" w:ascii="仿宋_GB2312" w:hAnsi="仿宋" w:eastAsia="仿宋_GB2312" w:cs="仿宋"/>
          <w:sz w:val="32"/>
          <w:szCs w:val="32"/>
        </w:rPr>
        <w:t>2、镇政府主要职能</w:t>
      </w:r>
    </w:p>
    <w:p>
      <w:pPr>
        <w:pStyle w:val="6"/>
        <w:ind w:firstLine="600"/>
        <w:jc w:val="left"/>
        <w:rPr>
          <w:rFonts w:ascii="仿宋_GB2312" w:hAnsi="仿宋" w:eastAsia="仿宋_GB2312" w:cs="仿宋"/>
          <w:sz w:val="32"/>
          <w:szCs w:val="32"/>
        </w:rPr>
      </w:pPr>
      <w:r>
        <w:rPr>
          <w:rFonts w:hint="eastAsia" w:ascii="仿宋_GB2312" w:hAnsi="仿宋" w:eastAsia="仿宋_GB2312" w:cs="仿宋"/>
          <w:sz w:val="32"/>
          <w:szCs w:val="32"/>
        </w:rPr>
        <w:t>（1）宣传贯彻党的路线、方针、政策和国家的法律、法规，贯彻执行本级人民代表大会的决议及上级党委、政府的决定、命令和本级党委的决定。</w:t>
      </w:r>
    </w:p>
    <w:p>
      <w:pPr>
        <w:pStyle w:val="6"/>
        <w:ind w:firstLine="600"/>
        <w:jc w:val="left"/>
        <w:rPr>
          <w:rFonts w:ascii="仿宋_GB2312" w:hAnsi="仿宋" w:eastAsia="仿宋_GB2312" w:cs="仿宋"/>
          <w:sz w:val="32"/>
          <w:szCs w:val="32"/>
        </w:rPr>
      </w:pPr>
      <w:r>
        <w:rPr>
          <w:rFonts w:hint="eastAsia" w:ascii="仿宋_GB2312" w:hAnsi="仿宋" w:eastAsia="仿宋_GB2312" w:cs="仿宋"/>
          <w:sz w:val="32"/>
          <w:szCs w:val="32"/>
        </w:rPr>
        <w:t>（2）编制和执行本镇社会经济发展规划、计划和财政预算，组织完成上级党委、政府下达的各项工作任务。</w:t>
      </w:r>
    </w:p>
    <w:p>
      <w:pPr>
        <w:pStyle w:val="6"/>
        <w:ind w:firstLine="600"/>
        <w:jc w:val="left"/>
        <w:rPr>
          <w:rFonts w:ascii="仿宋_GB2312" w:hAnsi="仿宋" w:eastAsia="仿宋_GB2312" w:cs="仿宋"/>
          <w:sz w:val="32"/>
          <w:szCs w:val="32"/>
        </w:rPr>
      </w:pPr>
      <w:r>
        <w:rPr>
          <w:rFonts w:hint="eastAsia" w:ascii="仿宋_GB2312" w:hAnsi="仿宋" w:eastAsia="仿宋_GB2312" w:cs="仿宋"/>
          <w:sz w:val="32"/>
          <w:szCs w:val="32"/>
        </w:rPr>
        <w:t>（3）对镇党委、镇人民代表大会及其主席团和上级行政机关负责并报告工作。</w:t>
      </w:r>
    </w:p>
    <w:p>
      <w:pPr>
        <w:pStyle w:val="6"/>
        <w:ind w:firstLine="600"/>
        <w:jc w:val="left"/>
        <w:rPr>
          <w:rFonts w:ascii="仿宋_GB2312" w:hAnsi="仿宋" w:eastAsia="仿宋_GB2312" w:cs="仿宋"/>
          <w:sz w:val="32"/>
          <w:szCs w:val="32"/>
        </w:rPr>
      </w:pPr>
      <w:r>
        <w:rPr>
          <w:rFonts w:hint="eastAsia" w:ascii="仿宋_GB2312" w:hAnsi="仿宋" w:eastAsia="仿宋_GB2312" w:cs="仿宋"/>
          <w:sz w:val="32"/>
          <w:szCs w:val="32"/>
        </w:rPr>
        <w:t>（4）负责本行政区域内的经济和教育、科学、文化、卫生、环境保护、体育、财政、民政、公安、司法、计划生育、公益、科普、安全生产、劳动保障、信访、残联、老龄、统战、民族宗教、征兵、民兵组织建设、工青妇等各项社会事业的行政工作。</w:t>
      </w:r>
    </w:p>
    <w:p>
      <w:pPr>
        <w:pStyle w:val="6"/>
        <w:jc w:val="left"/>
        <w:rPr>
          <w:rFonts w:ascii="仿宋_GB2312" w:hAnsi="仿宋" w:eastAsia="仿宋_GB2312" w:cs="仿宋"/>
          <w:sz w:val="32"/>
          <w:szCs w:val="32"/>
        </w:rPr>
      </w:pPr>
      <w:r>
        <w:rPr>
          <w:rFonts w:hint="eastAsia" w:ascii="仿宋_GB2312" w:hAnsi="仿宋" w:eastAsia="仿宋_GB2312" w:cs="仿宋"/>
          <w:sz w:val="32"/>
          <w:szCs w:val="32"/>
        </w:rPr>
        <w:t xml:space="preserve">  （5）维护社会秩序，营造良好的发展环境，保障公民和各种经济组织的合法权益。</w:t>
      </w:r>
    </w:p>
    <w:p>
      <w:pPr>
        <w:pStyle w:val="6"/>
        <w:ind w:firstLine="600"/>
        <w:jc w:val="left"/>
        <w:rPr>
          <w:rFonts w:ascii="仿宋_GB2312" w:hAnsi="仿宋" w:eastAsia="仿宋_GB2312" w:cs="仿宋"/>
          <w:b/>
          <w:bCs/>
          <w:sz w:val="32"/>
          <w:szCs w:val="32"/>
        </w:rPr>
      </w:pPr>
      <w:r>
        <w:rPr>
          <w:rFonts w:hint="eastAsia" w:ascii="仿宋_GB2312" w:hAnsi="仿宋" w:eastAsia="仿宋_GB2312" w:cs="仿宋"/>
          <w:sz w:val="32"/>
          <w:szCs w:val="32"/>
        </w:rPr>
        <w:t>（6）指导、支持和帮助社区居民委员会工作，抓好基层政权建设。</w:t>
      </w:r>
    </w:p>
    <w:p>
      <w:pPr>
        <w:widowControl/>
        <w:spacing w:line="560" w:lineRule="exact"/>
        <w:jc w:val="left"/>
        <w:rPr>
          <w:rFonts w:ascii="仿宋_GB2312" w:hAnsi="仿宋" w:eastAsia="仿宋_GB2312" w:cs="仿宋"/>
          <w:bCs/>
          <w:kern w:val="0"/>
          <w:sz w:val="32"/>
          <w:szCs w:val="32"/>
        </w:rPr>
      </w:pPr>
      <w:r>
        <w:rPr>
          <w:rFonts w:hint="eastAsia" w:ascii="仿宋_GB2312" w:hAnsi="宋体" w:eastAsia="仿宋_GB2312" w:cs="宋体"/>
          <w:kern w:val="0"/>
          <w:sz w:val="32"/>
          <w:szCs w:val="32"/>
        </w:rPr>
        <w:t xml:space="preserve">　  </w:t>
      </w:r>
      <w:r>
        <w:rPr>
          <w:rFonts w:hint="eastAsia" w:ascii="仿宋_GB2312" w:hAnsi="仿宋" w:eastAsia="仿宋_GB2312" w:cs="仿宋"/>
          <w:kern w:val="0"/>
          <w:sz w:val="32"/>
          <w:szCs w:val="32"/>
        </w:rPr>
        <w:t>3、</w:t>
      </w:r>
      <w:r>
        <w:rPr>
          <w:rFonts w:hint="eastAsia" w:ascii="仿宋_GB2312" w:hAnsi="仿宋" w:eastAsia="仿宋_GB2312" w:cs="仿宋"/>
          <w:bCs/>
          <w:kern w:val="0"/>
          <w:sz w:val="32"/>
          <w:szCs w:val="32"/>
        </w:rPr>
        <w:t>机构设置及人员情况</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木垒镇人民政府无下属预算单位，下设24个处室，分别是：</w:t>
      </w:r>
      <w:r>
        <w:rPr>
          <w:rFonts w:hint="eastAsia" w:ascii="仿宋_GB2312" w:hAnsi="仿宋" w:eastAsia="仿宋_GB2312" w:cs="仿宋"/>
          <w:sz w:val="32"/>
          <w:szCs w:val="32"/>
        </w:rPr>
        <w:t>镇党政办、经济发展办、社会事务办公室、综治中心、人大办、纪检办、武装部、镇党校、计划生育办、社会保障服务中心、文体广电服务中心、党员服务站、统计办、环境保护站、司法所、工青妇、财政所及7个社区。</w:t>
      </w:r>
    </w:p>
    <w:p>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木垒镇共有编制数79，实有人数67人，其中：在职 67   人，与上年人数持平； 退休37人，增加2人；无离休人员。</w:t>
      </w:r>
    </w:p>
    <w:p>
      <w:pPr>
        <w:spacing w:line="500" w:lineRule="exact"/>
        <w:rPr>
          <w:rFonts w:ascii="仿宋_GB2312" w:eastAsia="仿宋_GB2312"/>
          <w:sz w:val="32"/>
          <w:szCs w:val="32"/>
        </w:rPr>
      </w:pPr>
      <w:r>
        <w:rPr>
          <w:rFonts w:hint="eastAsia" w:ascii="仿宋_GB2312" w:eastAsia="仿宋_GB2312"/>
          <w:sz w:val="32"/>
          <w:szCs w:val="32"/>
        </w:rPr>
        <w:t>二、部门决算单位构成。</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从决算单位构成看，木垒镇人民政府决算包括：木垒镇人民政府本级决算。</w:t>
      </w:r>
    </w:p>
    <w:p>
      <w:pPr>
        <w:spacing w:line="500" w:lineRule="exact"/>
        <w:ind w:firstLine="616" w:firstLineChars="200"/>
        <w:rPr>
          <w:rFonts w:ascii="仿宋_GB2312" w:eastAsia="仿宋_GB2312"/>
          <w:spacing w:val="-6"/>
          <w:sz w:val="32"/>
          <w:szCs w:val="32"/>
        </w:rPr>
      </w:pPr>
      <w:r>
        <w:rPr>
          <w:rFonts w:hint="eastAsia" w:ascii="仿宋_GB2312" w:eastAsia="仿宋_GB2312"/>
          <w:spacing w:val="-6"/>
          <w:sz w:val="32"/>
          <w:szCs w:val="32"/>
        </w:rPr>
        <w:t>纳入</w:t>
      </w:r>
      <w:r>
        <w:rPr>
          <w:rFonts w:hint="eastAsia" w:ascii="仿宋_GB2312" w:eastAsia="仿宋_GB2312"/>
          <w:sz w:val="32"/>
          <w:szCs w:val="32"/>
        </w:rPr>
        <w:t>木垒镇人民政府2017</w:t>
      </w:r>
      <w:r>
        <w:rPr>
          <w:rFonts w:hint="eastAsia" w:ascii="仿宋_GB2312" w:eastAsia="仿宋_GB2312"/>
          <w:spacing w:val="-6"/>
          <w:sz w:val="32"/>
          <w:szCs w:val="32"/>
        </w:rPr>
        <w:t>年部门决算编制范围的单位名单见下表：</w:t>
      </w:r>
    </w:p>
    <w:p>
      <w:pPr>
        <w:spacing w:line="500" w:lineRule="exact"/>
        <w:ind w:firstLine="616" w:firstLineChars="200"/>
        <w:rPr>
          <w:rFonts w:ascii="仿宋_GB2312" w:eastAsia="仿宋_GB2312"/>
          <w:spacing w:val="-6"/>
          <w:sz w:val="32"/>
          <w:szCs w:val="32"/>
        </w:rPr>
      </w:pPr>
    </w:p>
    <w:tbl>
      <w:tblPr>
        <w:tblStyle w:val="5"/>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37"/>
        <w:gridCol w:w="3240"/>
        <w:gridCol w:w="2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序号</w:t>
            </w:r>
          </w:p>
        </w:tc>
        <w:tc>
          <w:tcPr>
            <w:tcW w:w="3240"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单位名称</w:t>
            </w:r>
          </w:p>
        </w:tc>
        <w:tc>
          <w:tcPr>
            <w:tcW w:w="2839"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r>
              <w:rPr>
                <w:rFonts w:hint="eastAsia" w:ascii="仿宋_GB2312" w:eastAsia="仿宋_GB2312"/>
                <w:sz w:val="32"/>
                <w:szCs w:val="32"/>
              </w:rPr>
              <w:t>1</w:t>
            </w:r>
          </w:p>
        </w:tc>
        <w:tc>
          <w:tcPr>
            <w:tcW w:w="3240" w:type="dxa"/>
            <w:vAlign w:val="center"/>
          </w:tcPr>
          <w:p>
            <w:pPr>
              <w:spacing w:line="500" w:lineRule="exact"/>
              <w:rPr>
                <w:rFonts w:ascii="仿宋_GB2312" w:eastAsia="仿宋_GB2312"/>
                <w:sz w:val="32"/>
                <w:szCs w:val="32"/>
              </w:rPr>
            </w:pPr>
            <w:r>
              <w:rPr>
                <w:rFonts w:hint="eastAsia" w:ascii="仿宋_GB2312" w:eastAsia="仿宋_GB2312"/>
                <w:sz w:val="32"/>
                <w:szCs w:val="32"/>
              </w:rPr>
              <w:t>木垒镇人民政府本级</w:t>
            </w:r>
          </w:p>
        </w:tc>
        <w:tc>
          <w:tcPr>
            <w:tcW w:w="2839" w:type="dxa"/>
            <w:vAlign w:val="center"/>
          </w:tcPr>
          <w:p>
            <w:pPr>
              <w:spacing w:line="500" w:lineRule="exact"/>
              <w:ind w:firstLine="640" w:firstLineChars="200"/>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p>
        </w:tc>
        <w:tc>
          <w:tcPr>
            <w:tcW w:w="3240" w:type="dxa"/>
            <w:vAlign w:val="center"/>
          </w:tcPr>
          <w:p>
            <w:pPr>
              <w:spacing w:line="500" w:lineRule="exact"/>
              <w:ind w:firstLine="640" w:firstLineChars="200"/>
              <w:rPr>
                <w:rFonts w:ascii="仿宋_GB2312" w:eastAsia="仿宋_GB2312"/>
                <w:sz w:val="32"/>
                <w:szCs w:val="32"/>
              </w:rPr>
            </w:pPr>
          </w:p>
        </w:tc>
        <w:tc>
          <w:tcPr>
            <w:tcW w:w="2839" w:type="dxa"/>
            <w:vAlign w:val="center"/>
          </w:tcPr>
          <w:p>
            <w:pPr>
              <w:spacing w:line="500" w:lineRule="exact"/>
              <w:ind w:firstLine="640" w:firstLineChars="200"/>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p>
        </w:tc>
        <w:tc>
          <w:tcPr>
            <w:tcW w:w="3240" w:type="dxa"/>
            <w:vAlign w:val="center"/>
          </w:tcPr>
          <w:p>
            <w:pPr>
              <w:spacing w:line="500" w:lineRule="exact"/>
              <w:ind w:firstLine="640" w:firstLineChars="200"/>
              <w:rPr>
                <w:rFonts w:ascii="仿宋_GB2312" w:eastAsia="仿宋_GB2312"/>
                <w:sz w:val="32"/>
                <w:szCs w:val="32"/>
              </w:rPr>
            </w:pPr>
          </w:p>
        </w:tc>
        <w:tc>
          <w:tcPr>
            <w:tcW w:w="2839" w:type="dxa"/>
            <w:vAlign w:val="center"/>
          </w:tcPr>
          <w:p>
            <w:pPr>
              <w:spacing w:line="500" w:lineRule="exact"/>
              <w:ind w:firstLine="640" w:firstLineChars="200"/>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37" w:type="dxa"/>
            <w:vAlign w:val="center"/>
          </w:tcPr>
          <w:p>
            <w:pPr>
              <w:spacing w:line="500" w:lineRule="exact"/>
              <w:ind w:firstLine="640" w:firstLineChars="200"/>
              <w:rPr>
                <w:rFonts w:ascii="仿宋_GB2312" w:eastAsia="仿宋_GB2312"/>
                <w:sz w:val="32"/>
                <w:szCs w:val="32"/>
              </w:rPr>
            </w:pPr>
          </w:p>
        </w:tc>
        <w:tc>
          <w:tcPr>
            <w:tcW w:w="3240" w:type="dxa"/>
            <w:vAlign w:val="center"/>
          </w:tcPr>
          <w:p>
            <w:pPr>
              <w:spacing w:line="500" w:lineRule="exact"/>
              <w:ind w:firstLine="640" w:firstLineChars="200"/>
              <w:rPr>
                <w:rFonts w:ascii="仿宋_GB2312" w:eastAsia="仿宋_GB2312"/>
                <w:sz w:val="32"/>
                <w:szCs w:val="32"/>
              </w:rPr>
            </w:pPr>
          </w:p>
        </w:tc>
        <w:tc>
          <w:tcPr>
            <w:tcW w:w="2839" w:type="dxa"/>
            <w:vAlign w:val="center"/>
          </w:tcPr>
          <w:p>
            <w:pPr>
              <w:spacing w:line="500" w:lineRule="exact"/>
              <w:ind w:firstLine="640" w:firstLineChars="200"/>
              <w:rPr>
                <w:rFonts w:ascii="仿宋_GB2312" w:eastAsia="仿宋_GB2312"/>
                <w:sz w:val="32"/>
                <w:szCs w:val="32"/>
              </w:rPr>
            </w:pPr>
          </w:p>
        </w:tc>
      </w:tr>
    </w:tbl>
    <w:p>
      <w:pPr>
        <w:spacing w:line="500" w:lineRule="exact"/>
        <w:ind w:firstLine="643" w:firstLineChars="200"/>
        <w:rPr>
          <w:rFonts w:ascii="仿宋_GB2312" w:eastAsia="仿宋_GB2312"/>
          <w:b/>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2017年度收入1670.79万元,与上年相比，增加（减少）42.15万元，增长2.59%，支出1670.79万元,与上年相比，增加33.48万元，增长2.05，</w:t>
      </w:r>
      <w:r>
        <w:rPr>
          <w:rFonts w:hint="eastAsia" w:ascii="仿宋_GB2312" w:eastAsia="仿宋_GB2312"/>
          <w:sz w:val="32"/>
          <w:szCs w:val="32"/>
          <w:lang w:val="en-US" w:eastAsia="zh-CN"/>
        </w:rPr>
        <w:t>与上年相比增加0万元，增长0%。</w:t>
      </w:r>
      <w:r>
        <w:rPr>
          <w:rFonts w:hint="eastAsia" w:ascii="仿宋_GB2312" w:eastAsia="仿宋_GB2312"/>
          <w:sz w:val="32"/>
          <w:szCs w:val="32"/>
        </w:rPr>
        <w:t>增减变化主要原因是：项目增多。</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w:t>
      </w:r>
      <w:r>
        <w:rPr>
          <w:rFonts w:hint="eastAsia" w:ascii="仿宋_GB2312" w:eastAsia="仿宋_GB2312"/>
          <w:sz w:val="32"/>
          <w:szCs w:val="32"/>
          <w:lang w:eastAsia="zh-CN"/>
        </w:rPr>
        <w:t>情况：</w:t>
      </w:r>
      <w:r>
        <w:rPr>
          <w:rFonts w:hint="eastAsia" w:ascii="仿宋_GB2312" w:eastAsia="仿宋_GB2312"/>
          <w:sz w:val="32"/>
          <w:szCs w:val="32"/>
          <w:lang w:val="en-US" w:eastAsia="zh-CN"/>
        </w:rPr>
        <w:t>2017年预算数为1359.87，决算数为1670.79，</w:t>
      </w:r>
      <w:r>
        <w:rPr>
          <w:rFonts w:hint="eastAsia" w:ascii="仿宋_GB2312" w:eastAsia="仿宋_GB2312"/>
          <w:sz w:val="32"/>
          <w:szCs w:val="32"/>
        </w:rPr>
        <w:t>增加310.89万元,增长幅度23%。</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本年收入合计1670.79万元，其中：财政拨款收入1669.97万元，占99.95%；上级补助收入</w:t>
      </w:r>
      <w:r>
        <w:rPr>
          <w:rFonts w:hint="eastAsia" w:ascii="仿宋_GB2312" w:eastAsia="仿宋_GB2312"/>
          <w:sz w:val="32"/>
          <w:szCs w:val="32"/>
          <w:lang w:val="en-US" w:eastAsia="zh-CN"/>
        </w:rPr>
        <w:t>0万元，占0%；</w:t>
      </w:r>
      <w:r>
        <w:rPr>
          <w:rFonts w:hint="eastAsia" w:ascii="仿宋_GB2312" w:eastAsia="仿宋_GB2312"/>
          <w:sz w:val="32"/>
          <w:szCs w:val="32"/>
        </w:rPr>
        <w:t>事业收入</w:t>
      </w:r>
      <w:r>
        <w:rPr>
          <w:rFonts w:hint="eastAsia" w:ascii="仿宋_GB2312" w:eastAsia="仿宋_GB2312"/>
          <w:sz w:val="32"/>
          <w:szCs w:val="32"/>
          <w:lang w:val="en-US" w:eastAsia="zh-CN"/>
        </w:rPr>
        <w:t>0万元，占0%；</w:t>
      </w:r>
      <w:r>
        <w:rPr>
          <w:rFonts w:hint="eastAsia" w:ascii="仿宋_GB2312" w:eastAsia="仿宋_GB2312"/>
          <w:sz w:val="32"/>
          <w:szCs w:val="32"/>
        </w:rPr>
        <w:t>经营收入</w:t>
      </w:r>
      <w:r>
        <w:rPr>
          <w:rFonts w:hint="eastAsia" w:ascii="仿宋_GB2312" w:eastAsia="仿宋_GB2312"/>
          <w:sz w:val="32"/>
          <w:szCs w:val="32"/>
          <w:lang w:val="en-US" w:eastAsia="zh-CN"/>
        </w:rPr>
        <w:t>0万元，占0%；</w:t>
      </w:r>
      <w:r>
        <w:rPr>
          <w:rFonts w:hint="eastAsia" w:ascii="仿宋_GB2312" w:eastAsia="仿宋_GB2312"/>
          <w:sz w:val="32"/>
          <w:szCs w:val="32"/>
        </w:rPr>
        <w:t>附属单位上缴收入</w:t>
      </w:r>
      <w:r>
        <w:rPr>
          <w:rFonts w:hint="eastAsia" w:ascii="仿宋_GB2312" w:eastAsia="仿宋_GB2312"/>
          <w:sz w:val="32"/>
          <w:szCs w:val="32"/>
          <w:lang w:val="en-US" w:eastAsia="zh-CN"/>
        </w:rPr>
        <w:t>0万元，占0%；</w:t>
      </w:r>
      <w:r>
        <w:rPr>
          <w:rFonts w:hint="eastAsia" w:ascii="仿宋_GB2312" w:eastAsia="仿宋_GB2312"/>
          <w:sz w:val="32"/>
          <w:szCs w:val="32"/>
        </w:rPr>
        <w:t>其他收入0.82万元，占0.05%。增减变化的主要原因是：项目增加。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w:t>
      </w:r>
      <w:r>
        <w:rPr>
          <w:rFonts w:hint="eastAsia" w:ascii="仿宋_GB2312" w:eastAsia="仿宋_GB2312"/>
          <w:sz w:val="32"/>
          <w:szCs w:val="32"/>
          <w:lang w:eastAsia="zh-CN"/>
        </w:rPr>
        <w:t>情况：</w:t>
      </w:r>
      <w:r>
        <w:rPr>
          <w:rFonts w:hint="eastAsia" w:ascii="仿宋_GB2312" w:eastAsia="仿宋_GB2312"/>
          <w:sz w:val="32"/>
          <w:szCs w:val="32"/>
          <w:lang w:val="en-US" w:eastAsia="zh-CN"/>
        </w:rPr>
        <w:t>2017年预算数为1359.87，决算数为1670.79，</w:t>
      </w:r>
      <w:r>
        <w:rPr>
          <w:rFonts w:hint="eastAsia" w:ascii="仿宋_GB2312" w:eastAsia="仿宋_GB2312"/>
          <w:sz w:val="32"/>
          <w:szCs w:val="32"/>
        </w:rPr>
        <w:t>增加310.89万元,增长幅度23%。</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本年支出合计1670.79万元，其中：基本支出1428.55万元，占85.51%；项目支出242.24万元，占14.49%；</w:t>
      </w:r>
      <w:r>
        <w:rPr>
          <w:rFonts w:hint="eastAsia" w:ascii="仿宋_GB2312" w:eastAsia="仿宋_GB2312"/>
          <w:sz w:val="32"/>
          <w:szCs w:val="32"/>
          <w:lang w:val="en-US" w:eastAsia="zh-CN"/>
        </w:rPr>
        <w:t>上缴上级支出0万元，占0%；经营支出0万元，占0%；对附属单位补助支出0万元，占0%。</w:t>
      </w:r>
      <w:r>
        <w:rPr>
          <w:rFonts w:hint="eastAsia" w:ascii="仿宋_GB2312" w:eastAsia="仿宋_GB2312"/>
          <w:sz w:val="32"/>
          <w:szCs w:val="32"/>
        </w:rPr>
        <w:t>增减变化的主要原因是：项目增加。</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w:t>
      </w:r>
      <w:r>
        <w:rPr>
          <w:rFonts w:hint="eastAsia" w:ascii="仿宋_GB2312" w:eastAsia="仿宋_GB2312"/>
          <w:sz w:val="32"/>
          <w:szCs w:val="32"/>
          <w:lang w:eastAsia="zh-CN"/>
        </w:rPr>
        <w:t>情况：</w:t>
      </w:r>
      <w:r>
        <w:rPr>
          <w:rFonts w:hint="eastAsia" w:ascii="仿宋_GB2312" w:eastAsia="仿宋_GB2312"/>
          <w:sz w:val="32"/>
          <w:szCs w:val="32"/>
          <w:lang w:val="en-US" w:eastAsia="zh-CN"/>
        </w:rPr>
        <w:t>2017年预算数为1359.87，决算数为1670.79，</w:t>
      </w:r>
      <w:r>
        <w:rPr>
          <w:rFonts w:hint="eastAsia" w:ascii="仿宋_GB2312" w:eastAsia="仿宋_GB2312"/>
          <w:sz w:val="32"/>
          <w:szCs w:val="32"/>
        </w:rPr>
        <w:t>增加310.89万元,增长幅度23%。</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2017年度财政拨款收入1669.97万元，与上年相比，增加41.33万元，增长3%。增减变化的主要原因是：项目增加。财政拨款支出1669.97万元，与上年相比，增加41.33万元，增长3%。其中：基本支出1428.86万元，项目支出242.24万元。增减变化的主要原因是：项目增加。财政拨款结转结余0万元，与上年相比持平。</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w:t>
      </w:r>
      <w:r>
        <w:rPr>
          <w:rFonts w:hint="eastAsia" w:ascii="仿宋_GB2312" w:eastAsia="仿宋_GB2312"/>
          <w:sz w:val="32"/>
          <w:szCs w:val="32"/>
          <w:lang w:eastAsia="zh-CN"/>
        </w:rPr>
        <w:t>情况：</w:t>
      </w:r>
      <w:r>
        <w:rPr>
          <w:rFonts w:hint="eastAsia" w:ascii="仿宋_GB2312" w:eastAsia="仿宋_GB2312"/>
          <w:sz w:val="32"/>
          <w:szCs w:val="32"/>
          <w:lang w:val="en-US" w:eastAsia="zh-CN"/>
        </w:rPr>
        <w:t>2017年预算数为1359.87，决算数为1670.79，</w:t>
      </w:r>
      <w:r>
        <w:rPr>
          <w:rFonts w:hint="eastAsia" w:ascii="仿宋_GB2312" w:eastAsia="仿宋_GB2312"/>
          <w:sz w:val="32"/>
          <w:szCs w:val="32"/>
        </w:rPr>
        <w:t>增加310.89万元,增长幅度23%。</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（二）一般公共预算支出决算情况说明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2017年度一般公共预算财政拨款支出1669.97万元。与上年相比，增加41.33万元，增长3%。增减变化的主要原因是：压缩支出。其中：按功能分类科目，一般公共服务支出750.63万元，国防支出2万元,公共安全支出0.86万元,社会保障和就业支出116.04万元,医疗卫生与计划生育支出9.83万元,城乡社区支出604.62万元,国土海洋气象等支出18.88万元,其他支出168.78万元。按经济分类科目，工资福利支出896.77万元,商品和服务支出193.08万元,对个人和家庭的补助支出470.94万元,其他资本性支出110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与预算相比</w:t>
      </w:r>
      <w:r>
        <w:rPr>
          <w:rFonts w:hint="eastAsia" w:ascii="仿宋_GB2312" w:eastAsia="仿宋_GB2312"/>
          <w:sz w:val="32"/>
          <w:szCs w:val="32"/>
          <w:lang w:eastAsia="zh-CN"/>
        </w:rPr>
        <w:t>情况：</w:t>
      </w:r>
      <w:r>
        <w:rPr>
          <w:rFonts w:hint="eastAsia" w:ascii="仿宋_GB2312" w:eastAsia="仿宋_GB2312"/>
          <w:sz w:val="32"/>
          <w:szCs w:val="32"/>
          <w:lang w:val="en-US" w:eastAsia="zh-CN"/>
        </w:rPr>
        <w:t>2017年预算数为1359.87，决算数为1670.79，</w:t>
      </w:r>
      <w:r>
        <w:rPr>
          <w:rFonts w:hint="eastAsia" w:ascii="仿宋_GB2312" w:eastAsia="仿宋_GB2312"/>
          <w:sz w:val="32"/>
          <w:szCs w:val="32"/>
        </w:rPr>
        <w:t>增加310.89万元,增长幅度23%。</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政府性基金预算财政拨款收入。政府性基金预算财政拨款支出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政府性基金预算财政拨款支出。</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（四）政府性基金预算支出决算情况说明</w:t>
      </w:r>
    </w:p>
    <w:p>
      <w:pPr>
        <w:keepNext w:val="0"/>
        <w:keepLines w:val="0"/>
        <w:pageBreakBefore w:val="0"/>
        <w:widowControl w:val="0"/>
        <w:kinsoku/>
        <w:wordWrap/>
        <w:overflowPunct/>
        <w:topLinePunct w:val="0"/>
        <w:bidi w:val="0"/>
        <w:snapToGrid/>
        <w:spacing w:line="500"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2017</w:t>
      </w:r>
      <w:r>
        <w:rPr>
          <w:rFonts w:hint="eastAsia" w:ascii="仿宋_GB2312" w:eastAsia="仿宋_GB2312"/>
          <w:sz w:val="32"/>
          <w:szCs w:val="32"/>
        </w:rPr>
        <w:t>年度政府性基金预算支出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eastAsia="zh-CN"/>
        </w:rPr>
        <w:t>无</w:t>
      </w:r>
      <w:r>
        <w:rPr>
          <w:rFonts w:hint="eastAsia" w:ascii="仿宋_GB2312" w:eastAsia="仿宋_GB2312"/>
          <w:sz w:val="32"/>
          <w:szCs w:val="32"/>
        </w:rPr>
        <w:t>政府性基金预算支出。其中：按功能分类科目，</w:t>
      </w:r>
      <w:r>
        <w:rPr>
          <w:rFonts w:hint="eastAsia" w:ascii="仿宋_GB2312" w:eastAsia="仿宋_GB2312"/>
          <w:sz w:val="32"/>
          <w:szCs w:val="32"/>
          <w:lang w:eastAsia="zh-CN"/>
        </w:rPr>
        <w:t>基本</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项目</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万元。按经济分类科目，</w:t>
      </w:r>
      <w:r>
        <w:rPr>
          <w:rFonts w:hint="eastAsia" w:ascii="仿宋_GB2312" w:eastAsia="仿宋_GB2312"/>
          <w:sz w:val="32"/>
          <w:szCs w:val="32"/>
          <w:lang w:eastAsia="zh-CN"/>
        </w:rPr>
        <w:t>工资福利支出</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商品服务</w:t>
      </w:r>
      <w:r>
        <w:rPr>
          <w:rFonts w:hint="eastAsia" w:ascii="仿宋_GB2312" w:eastAsia="仿宋_GB2312"/>
          <w:sz w:val="32"/>
          <w:szCs w:val="32"/>
        </w:rPr>
        <w:t>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，个人和家庭的补助支出</w:t>
      </w:r>
      <w:r>
        <w:rPr>
          <w:rFonts w:hint="eastAsia" w:ascii="仿宋_GB2312" w:eastAsia="仿宋_GB2312"/>
          <w:sz w:val="32"/>
          <w:szCs w:val="32"/>
          <w:lang w:val="en-US" w:eastAsia="zh-CN"/>
        </w:rPr>
        <w:t>0万元</w:t>
      </w:r>
      <w:r>
        <w:rPr>
          <w:rFonts w:hint="eastAsia" w:ascii="仿宋_GB2312" w:eastAsia="仿宋_GB2312"/>
          <w:sz w:val="32"/>
          <w:szCs w:val="32"/>
        </w:rPr>
        <w:t>。</w:t>
      </w:r>
    </w:p>
    <w:p>
      <w:pPr>
        <w:spacing w:line="500" w:lineRule="exact"/>
        <w:ind w:firstLine="640" w:firstLineChars="200"/>
        <w:rPr>
          <w:rFonts w:hint="eastAsia" w:ascii="仿宋_GB2312" w:hAnsi="Calibri" w:eastAsia="仿宋_GB2312"/>
          <w:sz w:val="32"/>
          <w:szCs w:val="32"/>
        </w:rPr>
      </w:pPr>
      <w:r>
        <w:rPr>
          <w:rFonts w:hint="eastAsia" w:ascii="仿宋_GB2312" w:eastAsia="仿宋_GB2312"/>
          <w:sz w:val="32"/>
          <w:szCs w:val="32"/>
          <w:lang w:eastAsia="zh-CN"/>
        </w:rPr>
        <w:t>与预算相比情况：年初预算数为</w:t>
      </w:r>
      <w:r>
        <w:rPr>
          <w:rFonts w:hint="eastAsia" w:ascii="仿宋_GB2312" w:eastAsia="仿宋_GB2312"/>
          <w:sz w:val="32"/>
          <w:szCs w:val="32"/>
          <w:lang w:val="en-US" w:eastAsia="zh-CN"/>
        </w:rPr>
        <w:t>0万元，决算数为0万元，增加0万元，增长0%</w:t>
      </w:r>
      <w:r>
        <w:rPr>
          <w:rFonts w:hint="eastAsia" w:ascii="仿宋_GB2312" w:eastAsia="仿宋_GB2312"/>
          <w:sz w:val="32"/>
          <w:szCs w:val="32"/>
          <w:lang w:eastAsia="zh-CN"/>
        </w:rPr>
        <w:t>。</w:t>
      </w:r>
      <w:r>
        <w:rPr>
          <w:rFonts w:hint="eastAsia" w:ascii="仿宋_GB2312" w:eastAsia="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00" w:lineRule="exact"/>
        <w:ind w:firstLine="640" w:firstLineChars="200"/>
        <w:rPr>
          <w:rFonts w:hint="eastAsia" w:ascii="仿宋_GB2312" w:eastAsia="仿宋_GB2312"/>
          <w:sz w:val="32"/>
          <w:szCs w:val="32"/>
        </w:rPr>
      </w:pPr>
      <w:r>
        <w:rPr>
          <w:rFonts w:hint="eastAsia" w:ascii="仿宋_GB2312" w:eastAsia="仿宋_GB2312"/>
          <w:sz w:val="32"/>
          <w:szCs w:val="32"/>
        </w:rPr>
        <w:t>年末结转结余</w:t>
      </w:r>
      <w:r>
        <w:rPr>
          <w:rFonts w:ascii="仿宋_GB2312" w:eastAsia="仿宋_GB2312"/>
          <w:sz w:val="32"/>
          <w:szCs w:val="32"/>
        </w:rPr>
        <w:t>0</w:t>
      </w:r>
      <w:r>
        <w:rPr>
          <w:rFonts w:hint="eastAsia" w:ascii="仿宋_GB2312" w:eastAsia="仿宋_GB2312"/>
          <w:sz w:val="32"/>
          <w:szCs w:val="32"/>
        </w:rPr>
        <w:t>万元。与上年相比，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0万元，增长0%</w:t>
      </w:r>
      <w:r>
        <w:rPr>
          <w:rFonts w:hint="eastAsia" w:ascii="仿宋_GB2312" w:eastAsia="仿宋_GB2312"/>
          <w:sz w:val="32"/>
          <w:szCs w:val="32"/>
        </w:rPr>
        <w:t>。</w:t>
      </w:r>
    </w:p>
    <w:p>
      <w:pPr>
        <w:spacing w:line="500" w:lineRule="exact"/>
        <w:ind w:firstLine="640" w:firstLineChars="200"/>
        <w:rPr>
          <w:rFonts w:hint="eastAsia" w:ascii="仿宋_GB2312" w:hAnsi="Calibri" w:eastAsia="仿宋_GB2312"/>
          <w:sz w:val="32"/>
          <w:szCs w:val="32"/>
          <w:lang w:val="en-US" w:eastAsia="zh-CN"/>
        </w:rPr>
      </w:pPr>
      <w:r>
        <w:rPr>
          <w:rFonts w:hint="eastAsia" w:ascii="仿宋_GB2312" w:eastAsia="仿宋_GB2312"/>
          <w:sz w:val="32"/>
          <w:szCs w:val="32"/>
          <w:lang w:eastAsia="zh-CN"/>
        </w:rPr>
        <w:t>其中财政拨款结转结余</w:t>
      </w:r>
      <w:r>
        <w:rPr>
          <w:rFonts w:hint="eastAsia" w:ascii="仿宋_GB2312" w:eastAsia="仿宋_GB2312"/>
          <w:sz w:val="32"/>
          <w:szCs w:val="32"/>
          <w:lang w:val="en-US" w:eastAsia="zh-CN"/>
        </w:rPr>
        <w:t>0万元。与上年度相比，增加0万元，增长0%</w:t>
      </w:r>
      <w:r>
        <w:rPr>
          <w:rFonts w:hint="eastAsia" w:ascii="仿宋_GB2312" w:hAnsi="Calibri" w:eastAsia="仿宋_GB2312"/>
          <w:sz w:val="32"/>
          <w:szCs w:val="32"/>
          <w:lang w:val="en-US"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2017年度一般公共预算“三公”经费支出决算7.8万元，比上年减少0.19万元，降低2.39%，减少原因是压缩支出。其中，因公出国（境）费支出0万元，占0%，</w:t>
      </w:r>
      <w:r>
        <w:rPr>
          <w:rFonts w:hint="eastAsia" w:ascii="仿宋_GB2312" w:eastAsia="仿宋_GB2312"/>
          <w:sz w:val="32"/>
          <w:szCs w:val="32"/>
          <w:lang w:eastAsia="zh-CN"/>
        </w:rPr>
        <w:t>与上年相比增加</w:t>
      </w:r>
      <w:r>
        <w:rPr>
          <w:rFonts w:hint="eastAsia" w:ascii="仿宋_GB2312" w:eastAsia="仿宋_GB2312"/>
          <w:sz w:val="32"/>
          <w:szCs w:val="32"/>
          <w:lang w:val="en-US" w:eastAsia="zh-CN"/>
        </w:rPr>
        <w:t>0万元，增长0%，增减变化原因：无因公出国（境）支出</w:t>
      </w:r>
      <w:r>
        <w:rPr>
          <w:rFonts w:hint="eastAsia" w:ascii="仿宋_GB2312" w:eastAsia="仿宋_GB2312"/>
          <w:sz w:val="32"/>
          <w:szCs w:val="32"/>
        </w:rPr>
        <w:t>；公务用车购置及运行维护费支出7.04万元，占90%，比上年减少0.16万元，降低2.2%，减少原因是压缩支出；公务接待费支出0.77万元，占10%，比上年减少0.03万元，降低4.11%，减少原因是压缩支出。具体情况如下：</w:t>
      </w:r>
    </w:p>
    <w:p>
      <w:pPr>
        <w:spacing w:line="5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因公出国（境）费支出0万元。</w:t>
      </w:r>
      <w:r>
        <w:rPr>
          <w:rFonts w:hint="eastAsia" w:ascii="仿宋_GB2312" w:eastAsia="仿宋_GB2312"/>
          <w:sz w:val="32"/>
          <w:szCs w:val="32"/>
          <w:lang w:eastAsia="zh-CN"/>
        </w:rPr>
        <w:t>本单位</w:t>
      </w:r>
      <w:r>
        <w:rPr>
          <w:rFonts w:hint="eastAsia" w:ascii="仿宋_GB2312" w:eastAsia="仿宋_GB2312"/>
          <w:sz w:val="32"/>
          <w:szCs w:val="32"/>
        </w:rPr>
        <w:t>全年使用一般公共预算财政拨款安排的出国（境）团组</w:t>
      </w:r>
      <w:r>
        <w:rPr>
          <w:rFonts w:hint="eastAsia" w:ascii="仿宋_GB2312" w:eastAsia="仿宋_GB2312"/>
          <w:sz w:val="32"/>
          <w:szCs w:val="32"/>
          <w:lang w:val="en-US" w:eastAsia="zh-CN"/>
        </w:rPr>
        <w:t>0</w:t>
      </w:r>
      <w:r>
        <w:rPr>
          <w:rFonts w:hint="eastAsia" w:ascii="仿宋_GB2312" w:eastAsia="仿宋_GB2312"/>
          <w:sz w:val="32"/>
          <w:szCs w:val="32"/>
        </w:rPr>
        <w:t>个，累计</w:t>
      </w:r>
      <w:r>
        <w:rPr>
          <w:rFonts w:hint="eastAsia" w:ascii="仿宋_GB2312" w:eastAsia="仿宋_GB2312"/>
          <w:sz w:val="32"/>
          <w:szCs w:val="32"/>
          <w:lang w:val="en-US" w:eastAsia="zh-CN"/>
        </w:rPr>
        <w:t>0</w:t>
      </w:r>
      <w:r>
        <w:rPr>
          <w:rFonts w:hint="eastAsia" w:ascii="仿宋_GB2312" w:eastAsia="仿宋_GB2312"/>
          <w:sz w:val="32"/>
          <w:szCs w:val="32"/>
        </w:rPr>
        <w:t>人次</w:t>
      </w:r>
      <w:r>
        <w:rPr>
          <w:rFonts w:hint="eastAsia" w:ascii="仿宋_GB2312" w:eastAsia="仿宋_GB2312"/>
          <w:sz w:val="32"/>
          <w:szCs w:val="32"/>
          <w:lang w:eastAsia="zh-CN"/>
        </w:rPr>
        <w:t>。</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用车购置及运行维护费7.8万元,其中，公务用车购置0万元，公务用车运行维护费7.04万元。主要用于单位公务用车运行的燃料费、维修费、过路过桥费、保险费等。2017年，单位一般公共财政拨款安排的公务用车购置量0辆，保有量为5辆。</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公务接待费0.77万元。具体是：国内公务接待支出0.77万元，主要是人大代表调研活动就餐等。木垒镇人民政府国内公务接待6批次，140人次。</w:t>
      </w:r>
    </w:p>
    <w:p>
      <w:pPr>
        <w:spacing w:line="500" w:lineRule="exact"/>
        <w:ind w:firstLine="640" w:firstLineChars="200"/>
        <w:rPr>
          <w:rFonts w:ascii="仿宋_GB2312" w:eastAsia="仿宋_GB2312"/>
          <w:sz w:val="32"/>
          <w:szCs w:val="32"/>
        </w:rPr>
      </w:pPr>
      <w:r>
        <w:rPr>
          <w:rFonts w:hint="eastAsia" w:ascii="仿宋_GB2312" w:eastAsia="仿宋_GB2312"/>
          <w:sz w:val="32"/>
          <w:szCs w:val="32"/>
          <w:lang w:eastAsia="zh-CN"/>
        </w:rPr>
        <w:t>与预算相比情况：</w:t>
      </w:r>
      <w:r>
        <w:rPr>
          <w:rFonts w:hint="eastAsia" w:ascii="仿宋_GB2312" w:eastAsia="仿宋_GB2312"/>
          <w:sz w:val="32"/>
          <w:szCs w:val="32"/>
        </w:rPr>
        <w:t>与预算相比,减少1.2万元,降低13%,减少原因是压缩支出。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2017年度木垒镇人民政府机关运行经费支出147.95万元，比上年减少30.2万元，降低16.96%，主要原因是压缩支出。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木垒镇人民政府政府采购计划85.06万元，其中：政府采购货物支出60.51万元、政府采购工程支出16.43万元、政府采购服务支出8.12万元；实际采购85.06万元，其中：政府采购货物支出60.51万元、政府采购工程支出16.43万元、政府采购服务支出8.12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截至2017年12月31日，资产总计2297.82万元，其中：流动资产644.43万元，固定资产1653.39万元，其中：房屋7447平方米，价值1212.93万元，共有车辆5辆，价值73.48万元，其中：部</w:t>
      </w:r>
      <w:bookmarkStart w:id="0" w:name="_GoBack"/>
      <w:bookmarkEnd w:id="0"/>
      <w:r>
        <w:rPr>
          <w:rFonts w:hint="eastAsia" w:ascii="仿宋_GB2312" w:eastAsia="仿宋_GB2312"/>
          <w:sz w:val="32"/>
          <w:szCs w:val="32"/>
        </w:rPr>
        <w:t>级领导干部用车0辆、一般公务用车3辆、一般执法执勤用车0辆、特种专业技术用车0辆、其他用车2辆（其他用车主要是：铲雪车一辆，拉动用面包车一辆）；单位价值50万元以上通用设备0台、单位价值100万元以上专用设备0台，其他固定资产价值366.98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（二）国有资产收益征缴情况说明</w:t>
      </w:r>
    </w:p>
    <w:p>
      <w:pPr>
        <w:spacing w:line="500" w:lineRule="exact"/>
        <w:ind w:firstLine="640" w:firstLineChars="200"/>
        <w:rPr>
          <w:rFonts w:hint="eastAsia" w:ascii="仿宋_GB2312" w:hAnsi="Calibri" w:eastAsia="仿宋_GB2312"/>
          <w:sz w:val="32"/>
          <w:szCs w:val="32"/>
        </w:rPr>
      </w:pPr>
      <w:r>
        <w:rPr>
          <w:rFonts w:hint="eastAsia" w:ascii="仿宋_GB2312" w:eastAsia="仿宋_GB2312"/>
          <w:sz w:val="32"/>
          <w:szCs w:val="32"/>
        </w:rPr>
        <w:t>截至2017年12月31日，木垒镇人民政府资产有偿使用收入合计1.89万元，资产处置收入合计16.91万元。其中：已缴国库18.8万元。</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（三）部门项目支出情况和项目绩效评价情况说明</w:t>
      </w:r>
    </w:p>
    <w:p>
      <w:pPr>
        <w:spacing w:line="500" w:lineRule="exact"/>
        <w:ind w:firstLine="640" w:firstLineChars="200"/>
        <w:rPr>
          <w:rFonts w:hint="eastAsia" w:ascii="仿宋_GB2312" w:hAnsi="Calibri" w:eastAsia="仿宋_GB2312"/>
          <w:sz w:val="32"/>
          <w:szCs w:val="32"/>
        </w:rPr>
      </w:pPr>
      <w:r>
        <w:rPr>
          <w:rFonts w:hint="eastAsia" w:ascii="仿宋_GB2312" w:eastAsia="仿宋_GB2312"/>
          <w:sz w:val="32"/>
          <w:szCs w:val="32"/>
        </w:rPr>
        <w:t>2017</w:t>
      </w:r>
      <w:r>
        <w:rPr>
          <w:rFonts w:hint="eastAsia" w:ascii="仿宋_GB2312" w:hAnsi="宋体" w:eastAsia="仿宋_GB2312" w:cs="宋体"/>
          <w:kern w:val="0"/>
          <w:sz w:val="32"/>
          <w:szCs w:val="32"/>
        </w:rPr>
        <w:t>年度，本部门单位实行绩效管理的项目</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个，涉及预算</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hAnsi="宋体" w:eastAsia="仿宋_GB2312" w:cs="宋体"/>
          <w:kern w:val="0"/>
          <w:sz w:val="32"/>
          <w:szCs w:val="32"/>
        </w:rPr>
        <w:t>，项目支出决算</w:t>
      </w:r>
      <w:r>
        <w:rPr>
          <w:rFonts w:hint="eastAsia" w:ascii="仿宋_GB2312" w:eastAsia="仿宋_GB2312"/>
          <w:sz w:val="32"/>
          <w:szCs w:val="32"/>
          <w:lang w:val="en-US" w:eastAsia="zh-CN"/>
        </w:rPr>
        <w:t>242.24</w:t>
      </w:r>
      <w:r>
        <w:rPr>
          <w:rFonts w:hint="eastAsia" w:ascii="仿宋_GB2312" w:eastAsia="仿宋_GB2312"/>
          <w:sz w:val="32"/>
          <w:szCs w:val="32"/>
        </w:rPr>
        <w:t>万元</w:t>
      </w:r>
      <w:r>
        <w:rPr>
          <w:rFonts w:hint="eastAsia" w:ascii="仿宋_GB2312" w:hAnsi="宋体" w:eastAsia="仿宋_GB2312" w:cs="宋体"/>
          <w:kern w:val="0"/>
          <w:sz w:val="32"/>
          <w:szCs w:val="32"/>
        </w:rPr>
        <w:t>。</w:t>
      </w:r>
    </w:p>
    <w:p>
      <w:pPr>
        <w:spacing w:line="500" w:lineRule="exact"/>
        <w:ind w:firstLine="643" w:firstLineChars="200"/>
        <w:rPr>
          <w:rFonts w:ascii="仿宋_GB2312" w:eastAsia="仿宋_GB2312"/>
          <w:b/>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本单位支出功能分类说明</w:t>
      </w:r>
      <w:r>
        <w:rPr>
          <w:rFonts w:hint="eastAsia" w:ascii="仿宋_GB2312" w:hAnsi="Calibri" w:eastAsia="仿宋_GB2312"/>
          <w:sz w:val="32"/>
          <w:szCs w:val="32"/>
          <w:lang w:eastAsia="zh-CN"/>
        </w:rPr>
        <w:t>：</w:t>
      </w:r>
      <w:r>
        <w:rPr>
          <w:rFonts w:hint="eastAsia" w:ascii="仿宋_GB2312" w:hAnsi="Calibri" w:eastAsia="仿宋_GB2312"/>
          <w:sz w:val="32"/>
          <w:szCs w:val="32"/>
        </w:rPr>
        <w:t>2010101：指人大行政运行（镇人大）用款</w:t>
      </w:r>
      <w:r>
        <w:rPr>
          <w:rFonts w:hint="eastAsia" w:ascii="仿宋_GB2312" w:hAnsi="Calibri" w:eastAsia="仿宋_GB2312"/>
          <w:sz w:val="32"/>
          <w:szCs w:val="32"/>
          <w:lang w:eastAsia="zh-CN"/>
        </w:rPr>
        <w:t>，</w:t>
      </w:r>
      <w:r>
        <w:rPr>
          <w:rFonts w:hint="eastAsia" w:ascii="仿宋_GB2312" w:hAnsi="Calibri" w:eastAsia="仿宋_GB2312"/>
          <w:sz w:val="32"/>
          <w:szCs w:val="32"/>
        </w:rPr>
        <w:t>2010104：指人大会议用款</w:t>
      </w:r>
      <w:r>
        <w:rPr>
          <w:rFonts w:hint="eastAsia" w:ascii="仿宋_GB2312" w:hAnsi="Calibri" w:eastAsia="仿宋_GB2312"/>
          <w:sz w:val="32"/>
          <w:szCs w:val="32"/>
          <w:lang w:eastAsia="zh-CN"/>
        </w:rPr>
        <w:t>，</w:t>
      </w:r>
      <w:r>
        <w:rPr>
          <w:rFonts w:hint="eastAsia" w:ascii="仿宋_GB2312" w:hAnsi="Calibri" w:eastAsia="仿宋_GB2312"/>
          <w:sz w:val="32"/>
          <w:szCs w:val="32"/>
        </w:rPr>
        <w:t>2010108：指人大代表工作用款</w:t>
      </w:r>
      <w:r>
        <w:rPr>
          <w:rFonts w:hint="eastAsia" w:ascii="仿宋_GB2312" w:hAnsi="Calibri" w:eastAsia="仿宋_GB2312"/>
          <w:sz w:val="32"/>
          <w:szCs w:val="32"/>
          <w:lang w:eastAsia="zh-CN"/>
        </w:rPr>
        <w:t>，</w:t>
      </w:r>
      <w:r>
        <w:rPr>
          <w:rFonts w:hint="eastAsia" w:ascii="仿宋_GB2312" w:hAnsi="Calibri" w:eastAsia="仿宋_GB2312"/>
          <w:sz w:val="32"/>
          <w:szCs w:val="32"/>
        </w:rPr>
        <w:t>2010301：指政府办公室行政运行（镇政府）用款</w:t>
      </w:r>
      <w:r>
        <w:rPr>
          <w:rFonts w:hint="eastAsia" w:ascii="仿宋_GB2312" w:hAnsi="Calibri" w:eastAsia="仿宋_GB2312"/>
          <w:sz w:val="32"/>
          <w:szCs w:val="32"/>
          <w:lang w:eastAsia="zh-CN"/>
        </w:rPr>
        <w:t>，</w:t>
      </w:r>
      <w:r>
        <w:rPr>
          <w:rFonts w:hint="eastAsia" w:ascii="仿宋_GB2312" w:hAnsi="Calibri" w:eastAsia="仿宋_GB2312"/>
          <w:sz w:val="32"/>
          <w:szCs w:val="32"/>
        </w:rPr>
        <w:t>2011050：指人力资源事务事业运行（劳动保障所）用款</w:t>
      </w:r>
      <w:r>
        <w:rPr>
          <w:rFonts w:hint="eastAsia" w:ascii="仿宋_GB2312" w:hAnsi="Calibri" w:eastAsia="仿宋_GB2312"/>
          <w:sz w:val="32"/>
          <w:szCs w:val="32"/>
          <w:lang w:eastAsia="zh-CN"/>
        </w:rPr>
        <w:t>，</w:t>
      </w:r>
      <w:r>
        <w:rPr>
          <w:rFonts w:hint="eastAsia" w:ascii="仿宋_GB2312" w:hAnsi="Calibri" w:eastAsia="仿宋_GB2312"/>
          <w:sz w:val="32"/>
          <w:szCs w:val="32"/>
        </w:rPr>
        <w:t>2013101：指党委办公室行政运行（镇党委）用款</w:t>
      </w:r>
      <w:r>
        <w:rPr>
          <w:rFonts w:hint="eastAsia" w:ascii="仿宋_GB2312" w:hAnsi="Calibri" w:eastAsia="仿宋_GB2312"/>
          <w:sz w:val="32"/>
          <w:szCs w:val="32"/>
          <w:lang w:eastAsia="zh-CN"/>
        </w:rPr>
        <w:t>，</w:t>
      </w:r>
      <w:r>
        <w:rPr>
          <w:rFonts w:hint="eastAsia" w:ascii="仿宋_GB2312" w:hAnsi="Calibri" w:eastAsia="仿宋_GB2312"/>
          <w:sz w:val="32"/>
          <w:szCs w:val="32"/>
        </w:rPr>
        <w:t>2013150：指党委办公室事业运行（党校）用款</w:t>
      </w:r>
      <w:r>
        <w:rPr>
          <w:rFonts w:hint="eastAsia" w:ascii="仿宋_GB2312" w:hAnsi="Calibri" w:eastAsia="仿宋_GB2312"/>
          <w:sz w:val="32"/>
          <w:szCs w:val="32"/>
          <w:lang w:eastAsia="zh-CN"/>
        </w:rPr>
        <w:t>，</w:t>
      </w:r>
      <w:r>
        <w:rPr>
          <w:rFonts w:hint="eastAsia" w:ascii="仿宋_GB2312" w:hAnsi="Calibri" w:eastAsia="仿宋_GB2312"/>
          <w:sz w:val="32"/>
          <w:szCs w:val="32"/>
        </w:rPr>
        <w:t>2013299：指其他组织事务支出用款</w:t>
      </w:r>
      <w:r>
        <w:rPr>
          <w:rFonts w:hint="eastAsia" w:ascii="仿宋_GB2312" w:hAnsi="Calibri" w:eastAsia="仿宋_GB2312"/>
          <w:sz w:val="32"/>
          <w:szCs w:val="32"/>
          <w:lang w:eastAsia="zh-CN"/>
        </w:rPr>
        <w:t>，</w:t>
      </w:r>
      <w:r>
        <w:rPr>
          <w:rFonts w:hint="eastAsia" w:ascii="仿宋_GB2312" w:hAnsi="Calibri" w:eastAsia="仿宋_GB2312"/>
          <w:sz w:val="32"/>
          <w:szCs w:val="32"/>
        </w:rPr>
        <w:t>2019999：指其他一般公共服务支出用款</w:t>
      </w:r>
      <w:r>
        <w:rPr>
          <w:rFonts w:hint="eastAsia" w:ascii="仿宋_GB2312" w:hAnsi="Calibri" w:eastAsia="仿宋_GB2312"/>
          <w:sz w:val="32"/>
          <w:szCs w:val="32"/>
          <w:lang w:eastAsia="zh-CN"/>
        </w:rPr>
        <w:t>，</w:t>
      </w:r>
      <w:r>
        <w:rPr>
          <w:rFonts w:hint="eastAsia" w:ascii="仿宋_GB2312" w:hAnsi="Calibri" w:eastAsia="仿宋_GB2312"/>
          <w:sz w:val="32"/>
          <w:szCs w:val="32"/>
        </w:rPr>
        <w:t>2030607：指国防民兵支出用款</w:t>
      </w:r>
      <w:r>
        <w:rPr>
          <w:rFonts w:hint="eastAsia" w:ascii="仿宋_GB2312" w:hAnsi="Calibri" w:eastAsia="仿宋_GB2312"/>
          <w:sz w:val="32"/>
          <w:szCs w:val="32"/>
          <w:lang w:eastAsia="zh-CN"/>
        </w:rPr>
        <w:t>，</w:t>
      </w:r>
      <w:r>
        <w:rPr>
          <w:rFonts w:hint="eastAsia" w:ascii="仿宋_GB2312" w:hAnsi="Calibri" w:eastAsia="仿宋_GB2312"/>
          <w:sz w:val="32"/>
          <w:szCs w:val="32"/>
        </w:rPr>
        <w:t>2080505：指机关事业单位基本养老保险缴费支出用款</w:t>
      </w:r>
      <w:r>
        <w:rPr>
          <w:rFonts w:hint="eastAsia" w:ascii="仿宋_GB2312" w:hAnsi="Calibri" w:eastAsia="仿宋_GB2312"/>
          <w:sz w:val="32"/>
          <w:szCs w:val="32"/>
          <w:lang w:eastAsia="zh-CN"/>
        </w:rPr>
        <w:t>，</w:t>
      </w:r>
      <w:r>
        <w:rPr>
          <w:rFonts w:hint="eastAsia" w:ascii="仿宋_GB2312" w:hAnsi="Calibri" w:eastAsia="仿宋_GB2312"/>
          <w:sz w:val="32"/>
          <w:szCs w:val="32"/>
        </w:rPr>
        <w:t>2100717：指计划生育服务支出（计生指导站）用款</w:t>
      </w:r>
      <w:r>
        <w:rPr>
          <w:rFonts w:hint="eastAsia" w:ascii="仿宋_GB2312" w:hAnsi="Calibri" w:eastAsia="仿宋_GB2312"/>
          <w:sz w:val="32"/>
          <w:szCs w:val="32"/>
          <w:lang w:eastAsia="zh-CN"/>
        </w:rPr>
        <w:t>，</w:t>
      </w:r>
      <w:r>
        <w:rPr>
          <w:rFonts w:hint="eastAsia" w:ascii="仿宋_GB2312" w:hAnsi="Calibri" w:eastAsia="仿宋_GB2312"/>
          <w:sz w:val="32"/>
          <w:szCs w:val="32"/>
        </w:rPr>
        <w:t>2120101：指城乡社区管理行政运行（六个社区）用款</w:t>
      </w:r>
      <w:r>
        <w:rPr>
          <w:rFonts w:hint="eastAsia" w:ascii="仿宋_GB2312" w:hAnsi="Calibri" w:eastAsia="仿宋_GB2312"/>
          <w:sz w:val="32"/>
          <w:szCs w:val="32"/>
          <w:lang w:eastAsia="zh-CN"/>
        </w:rPr>
        <w:t>，</w:t>
      </w:r>
      <w:r>
        <w:rPr>
          <w:rFonts w:hint="eastAsia" w:ascii="仿宋_GB2312" w:hAnsi="Calibri" w:eastAsia="仿宋_GB2312"/>
          <w:sz w:val="32"/>
          <w:szCs w:val="32"/>
        </w:rPr>
        <w:t>2200150：指国土资源事务事业运行（国土资源所）用款</w:t>
      </w:r>
      <w:r>
        <w:rPr>
          <w:rFonts w:hint="eastAsia" w:ascii="仿宋_GB2312" w:hAnsi="Calibri" w:eastAsia="仿宋_GB2312"/>
          <w:sz w:val="32"/>
          <w:szCs w:val="32"/>
          <w:lang w:eastAsia="zh-CN"/>
        </w:rPr>
        <w:t>，</w:t>
      </w:r>
      <w:r>
        <w:rPr>
          <w:rFonts w:hint="eastAsia" w:ascii="仿宋_GB2312" w:hAnsi="Calibri" w:eastAsia="仿宋_GB2312"/>
          <w:sz w:val="32"/>
          <w:szCs w:val="32"/>
        </w:rPr>
        <w:t>2299901：指其他支出用款</w:t>
      </w:r>
    </w:p>
    <w:p>
      <w:pPr>
        <w:spacing w:line="500" w:lineRule="exact"/>
        <w:ind w:firstLine="640" w:firstLineChars="200"/>
        <w:rPr>
          <w:rFonts w:hint="eastAsia" w:ascii="仿宋_GB2312" w:hAnsi="Calibri" w:eastAsia="仿宋_GB2312"/>
          <w:sz w:val="32"/>
          <w:szCs w:val="32"/>
        </w:rPr>
      </w:pPr>
      <w:r>
        <w:rPr>
          <w:rFonts w:hint="eastAsia" w:ascii="仿宋_GB2312" w:eastAsia="仿宋_GB2312"/>
          <w:sz w:val="32"/>
          <w:szCs w:val="32"/>
        </w:rPr>
        <w:t>其他有关说明内容</w:t>
      </w:r>
      <w:r>
        <w:rPr>
          <w:rFonts w:hint="eastAsia" w:ascii="仿宋_GB2312" w:hAnsi="Calibri" w:eastAsia="仿宋_GB2312"/>
          <w:sz w:val="32"/>
          <w:szCs w:val="32"/>
        </w:rPr>
        <w:t>。</w:t>
      </w:r>
    </w:p>
    <w:p>
      <w:pPr>
        <w:spacing w:line="500" w:lineRule="exact"/>
        <w:ind w:firstLine="643" w:firstLineChars="200"/>
        <w:rPr>
          <w:rFonts w:ascii="仿宋_GB2312" w:eastAsia="仿宋_GB2312"/>
          <w:b/>
          <w:sz w:val="32"/>
          <w:szCs w:val="32"/>
        </w:rPr>
      </w:pPr>
    </w:p>
    <w:p>
      <w:pPr>
        <w:spacing w:line="500" w:lineRule="exact"/>
        <w:jc w:val="center"/>
        <w:outlineLvl w:val="0"/>
        <w:rPr>
          <w:rFonts w:ascii="黑体" w:hAnsi="黑体" w:eastAsia="黑体"/>
          <w:sz w:val="32"/>
          <w:szCs w:val="32"/>
        </w:rPr>
      </w:pPr>
      <w:r>
        <w:rPr>
          <w:rFonts w:hint="eastAsia" w:ascii="黑体" w:hAnsi="黑体" w:eastAsia="黑体"/>
          <w:sz w:val="32"/>
          <w:szCs w:val="32"/>
        </w:rPr>
        <w:t>第四部分 部门决算报表（见附表）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一、报表封面</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三、《收入决算表》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四、《支出决算表》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五、《收入支出决算表》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六、《项目收入支出决算表》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七、《行政事业类项目收入支出决算表》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八、《基本建设类项目收入支出决算表》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九、《支出决算明细表》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十一、《项目支出决算明细表》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十二、《财政专户管理资金收入支出决算表》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十三、《财政拨款收入支出决算总表》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十四、《一般公共预算财政拨款收入支出决算表》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十五、《一般公共预算财政拨款支出决算明细表》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十六、《一般公共预算财政拨款基本支出决算明细表》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十七、《一般公共预算财政拨款项目支出决算明细表》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十八、《政府性基金预算财政拨款收入支出决算表》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十九、《政府性基金预算财政拨款支出决算明细表》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二十、《政府性基金预算财政拨款基本支出决算明细表》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二十一、《政府性基金预算财政拨款项目支出决算明细表》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二十二、《资产负债简表》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二十三、《资产情况表》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二十四、《国有资产收益征缴情况表》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二十五、《基本数字表》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二十六、《机构人员情况表》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二十七、《非税收入征缴情况表》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二十八、《部门决算相关信息统计表》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二十九、《政府采购情况表》</w:t>
      </w:r>
    </w:p>
    <w:p>
      <w:pPr>
        <w:spacing w:line="500" w:lineRule="exact"/>
        <w:ind w:firstLine="640" w:firstLineChars="200"/>
        <w:rPr>
          <w:rFonts w:ascii="仿宋_GB2312" w:eastAsia="仿宋_GB2312"/>
          <w:sz w:val="32"/>
          <w:szCs w:val="32"/>
        </w:rPr>
      </w:pPr>
      <w:r>
        <w:rPr>
          <w:rFonts w:hint="eastAsia" w:ascii="仿宋_GB2312" w:eastAsia="仿宋_GB2312"/>
          <w:sz w:val="32"/>
          <w:szCs w:val="32"/>
        </w:rPr>
        <w:t>三十、《2017年度一般公共预算“三公”经费支出情况表》</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方正小标宋_GBK">
    <w:altName w:val="黑体"/>
    <w:panose1 w:val="00000000000000000000"/>
    <w:charset w:val="86"/>
    <w:family w:val="auto"/>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altName w:val="微软雅黑"/>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25304862"/>
    <w:rsid w:val="40DE5171"/>
    <w:rsid w:val="7F905DE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939</Words>
  <Characters>5356</Characters>
  <Lines>44</Lines>
  <Paragraphs>12</Paragraphs>
  <TotalTime>10</TotalTime>
  <ScaleCrop>false</ScaleCrop>
  <LinksUpToDate>false</LinksUpToDate>
  <CharactersWithSpaces>0</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2018-06-30T11:29:00Z</dcterms:created>
  <dc:creator>GXR</dc:creator>
  <cp:lastModifiedBy>颜川</cp:lastModifiedBy>
  <cp:lastPrinted>2018-08-07T10:15:00Z</cp:lastPrinted>
  <dcterms:modified xsi:type="dcterms:W3CDTF">2018-12-22T03:35:40Z</dcterms:modified>
  <dc:title>GXR</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