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2017年度军粮供应站部门决算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  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第一部分军粮供应站单位概况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军粮供应站决算情况说明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军粮供应站决算报表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二、部门收支总体情况（11张）：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三、财政拨款收支情况（9张）：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四、单位资产负责情况（1张）：《资产负债简表》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五、部门决算附表（5张）：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六、填报说明附表（2张）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第一部分 木垒县军粮供应站单位概况</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（1）贯彻国家、自治区、自治州军粮供应政策，坚持“以兵为本”全面提升军粮供应保障能力与服务水平，研究制定具体落实措施。</w:t>
      </w:r>
    </w:p>
    <w:p>
      <w:pPr>
        <w:pStyle w:val="8"/>
        <w:spacing w:line="540" w:lineRule="exact"/>
        <w:ind w:firstLine="640" w:firstLineChars="200"/>
        <w:rPr>
          <w:rFonts w:ascii="仿宋_GB2312" w:eastAsia="仿宋_GB2312"/>
          <w:sz w:val="32"/>
          <w:szCs w:val="32"/>
        </w:rPr>
      </w:pPr>
      <w:r>
        <w:rPr>
          <w:rFonts w:hint="eastAsia" w:ascii="仿宋_GB2312" w:eastAsia="仿宋_GB2312"/>
          <w:sz w:val="32"/>
          <w:szCs w:val="32"/>
        </w:rPr>
        <w:t>（2）必须不断适应军粮供应服务升级的要求，扎实做好军粮供应规范化管理工作，严格购粮手续及军用购粮卡系统设备的使用管理。严格执行自治区、自治州军粮供应规范化管理标准。</w:t>
      </w:r>
    </w:p>
    <w:p>
      <w:pPr>
        <w:pStyle w:val="8"/>
        <w:spacing w:line="540" w:lineRule="exact"/>
        <w:ind w:firstLine="640"/>
        <w:rPr>
          <w:rFonts w:ascii="仿宋_GB2312" w:eastAsia="仿宋_GB2312"/>
          <w:sz w:val="32"/>
          <w:szCs w:val="32"/>
        </w:rPr>
      </w:pPr>
      <w:r>
        <w:rPr>
          <w:rFonts w:hint="eastAsia" w:ascii="仿宋_GB2312" w:eastAsia="仿宋_GB2312"/>
          <w:sz w:val="32"/>
          <w:szCs w:val="32"/>
        </w:rPr>
        <w:t>（3）树立全心全意为部队服务的思想，坚持实行服务承诺制，建立健全各项规章制度，使之各项工作有章可循，有据可查，保证军粮供应政策和任务的落实。主动了解和征求部队对军供粮油的需求，增设花色品种，做好粮油品种，等级的调剂和串换。</w:t>
      </w:r>
    </w:p>
    <w:p>
      <w:pPr>
        <w:pStyle w:val="8"/>
        <w:spacing w:line="540" w:lineRule="exact"/>
        <w:ind w:firstLine="640"/>
        <w:rPr>
          <w:rFonts w:hint="eastAsia" w:ascii="仿宋_GB2312" w:eastAsia="仿宋_GB2312"/>
          <w:sz w:val="32"/>
          <w:szCs w:val="32"/>
        </w:rPr>
      </w:pPr>
      <w:r>
        <w:rPr>
          <w:rFonts w:hint="eastAsia" w:ascii="仿宋_GB2312" w:eastAsia="仿宋_GB2312"/>
          <w:sz w:val="32"/>
          <w:szCs w:val="32"/>
        </w:rPr>
        <w:t>（4）军粮入库必须建立严格的进货检验制度和一批一检一报告制度，杜绝劣质粮油入库。</w:t>
      </w:r>
    </w:p>
    <w:p>
      <w:pPr>
        <w:pStyle w:val="8"/>
        <w:spacing w:line="540" w:lineRule="exact"/>
        <w:ind w:firstLine="640"/>
        <w:rPr>
          <w:rFonts w:hint="eastAsia" w:ascii="仿宋_GB2312" w:eastAsia="仿宋_GB2312"/>
          <w:sz w:val="32"/>
          <w:szCs w:val="32"/>
        </w:rPr>
      </w:pPr>
      <w:r>
        <w:rPr>
          <w:rFonts w:hint="eastAsia" w:ascii="仿宋_GB2312" w:eastAsia="仿宋_GB2312"/>
          <w:sz w:val="32"/>
          <w:szCs w:val="32"/>
        </w:rPr>
        <w:t>（5）</w:t>
      </w:r>
      <w:r>
        <w:rPr>
          <w:rFonts w:hint="eastAsia" w:ascii="仿宋_GB2312" w:hAnsi="黑体" w:eastAsia="仿宋_GB2312" w:cs="宋体"/>
          <w:sz w:val="30"/>
          <w:szCs w:val="30"/>
        </w:rPr>
        <w:t>机构设置及人员情况：</w:t>
      </w:r>
      <w:r>
        <w:rPr>
          <w:rFonts w:hint="eastAsia"/>
        </w:rPr>
        <w:t xml:space="preserve"> </w:t>
      </w:r>
    </w:p>
    <w:p>
      <w:pPr>
        <w:spacing w:line="600" w:lineRule="exact"/>
        <w:ind w:firstLine="900" w:firstLineChars="300"/>
        <w:rPr>
          <w:rFonts w:hint="eastAsia" w:ascii="仿宋_GB2312" w:eastAsia="仿宋_GB2312"/>
          <w:sz w:val="30"/>
          <w:szCs w:val="30"/>
        </w:rPr>
      </w:pPr>
      <w:r>
        <w:rPr>
          <w:rFonts w:hint="eastAsia" w:ascii="仿宋_GB2312" w:hAnsi="仿宋_GB2312" w:eastAsia="仿宋_GB2312"/>
          <w:sz w:val="30"/>
          <w:szCs w:val="30"/>
        </w:rPr>
        <w:t>军粮供应站事业编制2名</w:t>
      </w:r>
      <w:r>
        <w:rPr>
          <w:rFonts w:hint="eastAsia" w:ascii="仿宋_GB2312" w:eastAsia="仿宋_GB2312"/>
          <w:sz w:val="30"/>
          <w:szCs w:val="30"/>
        </w:rPr>
        <w:t>（管理岗位1个，专业技术岗位1个）</w:t>
      </w:r>
      <w:r>
        <w:rPr>
          <w:rFonts w:hint="eastAsia" w:ascii="宋体" w:hAnsi="宋体" w:cs="宋体"/>
          <w:sz w:val="30"/>
          <w:szCs w:val="30"/>
        </w:rPr>
        <w:t>現</w:t>
      </w:r>
      <w:r>
        <w:rPr>
          <w:rFonts w:hint="eastAsia" w:ascii="仿宋_GB2312" w:hAnsi="仿宋_GB2312" w:eastAsia="仿宋_GB2312" w:cs="仿宋_GB2312"/>
          <w:sz w:val="30"/>
          <w:szCs w:val="30"/>
        </w:rPr>
        <w:t>有在</w:t>
      </w:r>
      <w:r>
        <w:rPr>
          <w:rFonts w:hint="eastAsia" w:ascii="宋体" w:hAnsi="宋体" w:cs="宋体"/>
          <w:sz w:val="30"/>
          <w:szCs w:val="30"/>
        </w:rPr>
        <w:t>冊</w:t>
      </w:r>
      <w:r>
        <w:rPr>
          <w:rFonts w:hint="eastAsia" w:ascii="仿宋_GB2312" w:hAnsi="仿宋_GB2312" w:eastAsia="仿宋_GB2312" w:cs="仿宋_GB2312"/>
          <w:sz w:val="30"/>
          <w:szCs w:val="30"/>
        </w:rPr>
        <w:t>人</w:t>
      </w:r>
      <w:r>
        <w:rPr>
          <w:rFonts w:hint="eastAsia" w:ascii="宋体" w:hAnsi="宋体" w:cs="宋体"/>
          <w:sz w:val="30"/>
          <w:szCs w:val="30"/>
        </w:rPr>
        <w:t>員</w:t>
      </w:r>
      <w:r>
        <w:rPr>
          <w:rFonts w:hint="eastAsia" w:ascii="仿宋_GB2312" w:eastAsia="仿宋_GB2312"/>
          <w:sz w:val="30"/>
          <w:szCs w:val="30"/>
        </w:rPr>
        <w:t>1人，</w:t>
      </w:r>
      <w:r>
        <w:rPr>
          <w:rFonts w:hint="eastAsia" w:ascii="仿宋_GB2312" w:hAnsi="仿宋_GB2312" w:eastAsia="仿宋_GB2312"/>
          <w:sz w:val="30"/>
          <w:szCs w:val="30"/>
        </w:rPr>
        <w:t>（空编一个）</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二、军粮供应站决算单位构成。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从决算单位构成看，军粮供应站部门决算包括：军粮供应站部门本级决算。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纳入军粮供应站2017年部门决算编制范围的单位名单见下表：</w:t>
      </w:r>
    </w:p>
    <w:tbl>
      <w:tblPr>
        <w:tblStyle w:val="6"/>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804"/>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804"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275"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3804"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军粮供应站本级</w:t>
            </w:r>
          </w:p>
        </w:tc>
        <w:tc>
          <w:tcPr>
            <w:tcW w:w="2275"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 军粮供应站决算情况说明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一、军粮供应站收支总体情况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（一）军粮供应站收入支出决算总体情况说明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2017年度收入19.68万元,与上年相比，減少2.86万元，下降12.69%，支出19.68万元,与上年相比，</w:t>
      </w:r>
      <w:r>
        <w:rPr>
          <w:rFonts w:hint="eastAsia" w:ascii="宋体" w:hAnsi="宋体" w:cs="宋体"/>
          <w:sz w:val="32"/>
          <w:szCs w:val="32"/>
        </w:rPr>
        <w:t>減</w:t>
      </w:r>
      <w:r>
        <w:rPr>
          <w:rFonts w:hint="eastAsia" w:ascii="仿宋_GB2312" w:eastAsia="仿宋_GB2312"/>
          <w:sz w:val="32"/>
          <w:szCs w:val="32"/>
        </w:rPr>
        <w:t>少2.86万元，下降12.69%，结余0万元</w:t>
      </w:r>
      <w:r>
        <w:rPr>
          <w:rFonts w:hint="eastAsia" w:ascii="仿宋_GB2312" w:eastAsia="仿宋_GB2312"/>
          <w:sz w:val="32"/>
          <w:szCs w:val="32"/>
          <w:lang w:val="en-US" w:eastAsia="zh-CN"/>
        </w:rPr>
        <w:t>,与上年相比增加0万元，增长0%</w:t>
      </w:r>
      <w:r>
        <w:rPr>
          <w:rFonts w:hint="eastAsia" w:ascii="仿宋_GB2312" w:eastAsia="仿宋_GB2312"/>
          <w:sz w:val="32"/>
          <w:szCs w:val="32"/>
        </w:rPr>
        <w:t>。增减变化主要原因是：人员減少</w:t>
      </w:r>
      <w:r>
        <w:rPr>
          <w:rFonts w:hint="eastAsia" w:ascii="仿宋_GB2312" w:eastAsia="仿宋_GB2312"/>
          <w:sz w:val="32"/>
          <w:szCs w:val="32"/>
          <w:lang w:eastAsia="zh-CN"/>
        </w:rPr>
        <w:t>，相关年度收支平衡</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与预算情况相比：</w:t>
      </w:r>
      <w:r>
        <w:rPr>
          <w:rFonts w:hint="eastAsia" w:ascii="仿宋_GB2312" w:eastAsia="仿宋_GB2312"/>
          <w:sz w:val="32"/>
          <w:szCs w:val="32"/>
          <w:lang w:val="en-US" w:eastAsia="zh-CN"/>
        </w:rPr>
        <w:t>2017年初预算数为22.85万元，决算数为19.68万元，相比减少3.17，下降13.87%。</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（二）军粮供应站收入总体情况说明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本年收入合计19.68万元，其中：财政拨款收入19.68万元，占100%；上级补助收入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其他收入0万元，占0%。增减变化主要原因是：人员減少</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与预算情况相比：</w:t>
      </w:r>
      <w:r>
        <w:rPr>
          <w:rFonts w:hint="eastAsia" w:ascii="仿宋_GB2312" w:eastAsia="仿宋_GB2312"/>
          <w:sz w:val="32"/>
          <w:szCs w:val="32"/>
          <w:lang w:val="en-US" w:eastAsia="zh-CN"/>
        </w:rPr>
        <w:t>2017年初预算数为22.85万元，决算数为19.68万元，相比减少3.17，下降13.87%。</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（三）军粮供应站支出总体情况说明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本年支出合计19.68万元，其中：基本支出19.68万元，占100%；</w:t>
      </w:r>
      <w:r>
        <w:rPr>
          <w:rFonts w:hint="eastAsia" w:ascii="仿宋_GB2312" w:eastAsia="仿宋_GB2312"/>
          <w:sz w:val="32"/>
          <w:szCs w:val="32"/>
          <w:lang w:eastAsia="zh-CN"/>
        </w:rPr>
        <w:t>项目支出</w:t>
      </w:r>
      <w:r>
        <w:rPr>
          <w:rFonts w:hint="eastAsia" w:ascii="仿宋_GB2312" w:eastAsia="仿宋_GB2312"/>
          <w:sz w:val="32"/>
          <w:szCs w:val="32"/>
          <w:lang w:val="en-US" w:eastAsia="zh-CN"/>
        </w:rPr>
        <w:t>0万元，增长0%,上缴上级支出0万元，占0%；经营支出0万元，占0%；对附属单位补助支出0万元，占0%，</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hint="eastAsia" w:ascii="仿宋_GB2312" w:eastAsia="仿宋_GB2312"/>
          <w:sz w:val="32"/>
          <w:szCs w:val="32"/>
          <w:lang w:eastAsia="zh-CN"/>
        </w:rPr>
        <w:t>基本支出减少。</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与预算情况相比：</w:t>
      </w:r>
      <w:r>
        <w:rPr>
          <w:rFonts w:hint="eastAsia" w:ascii="仿宋_GB2312" w:eastAsia="仿宋_GB2312"/>
          <w:sz w:val="32"/>
          <w:szCs w:val="32"/>
          <w:lang w:val="en-US" w:eastAsia="zh-CN"/>
        </w:rPr>
        <w:t>2017年初预算数为22.85万元，决算数为19.68万元，相比减少3.17，下降13.87%。</w:t>
      </w:r>
    </w:p>
    <w:p>
      <w:pPr>
        <w:numPr>
          <w:ilvl w:val="0"/>
          <w:numId w:val="2"/>
        </w:num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财政拨款收支情况说明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19.68</w:t>
      </w:r>
      <w:r>
        <w:rPr>
          <w:rFonts w:hint="eastAsia" w:ascii="仿宋_GB2312" w:eastAsia="仿宋_GB2312"/>
          <w:sz w:val="32"/>
          <w:szCs w:val="32"/>
        </w:rPr>
        <w:t>万元，与上年相比，减少</w:t>
      </w:r>
      <w:r>
        <w:rPr>
          <w:rFonts w:hint="eastAsia" w:ascii="仿宋_GB2312" w:eastAsia="仿宋_GB2312"/>
          <w:sz w:val="32"/>
          <w:szCs w:val="32"/>
          <w:lang w:val="en-US" w:eastAsia="zh-CN"/>
        </w:rPr>
        <w:t>2.28</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12.5</w:t>
      </w:r>
      <w:r>
        <w:rPr>
          <w:rFonts w:ascii="仿宋_GB2312" w:eastAsia="仿宋_GB2312"/>
          <w:sz w:val="32"/>
          <w:szCs w:val="32"/>
        </w:rPr>
        <w:t>%</w:t>
      </w:r>
      <w:r>
        <w:rPr>
          <w:rFonts w:hint="eastAsia" w:ascii="仿宋_GB2312" w:eastAsia="仿宋_GB2312"/>
          <w:sz w:val="32"/>
          <w:szCs w:val="32"/>
        </w:rPr>
        <w:t>。减少的主要原因是：</w:t>
      </w:r>
      <w:r>
        <w:rPr>
          <w:rFonts w:hint="eastAsia" w:ascii="仿宋_GB2312" w:eastAsia="仿宋_GB2312"/>
          <w:sz w:val="32"/>
          <w:szCs w:val="32"/>
          <w:lang w:eastAsia="zh-CN"/>
        </w:rPr>
        <w:t>人员</w:t>
      </w:r>
      <w:r>
        <w:rPr>
          <w:rFonts w:hint="eastAsia" w:ascii="仿宋_GB2312" w:eastAsia="仿宋_GB2312"/>
          <w:sz w:val="32"/>
          <w:szCs w:val="32"/>
        </w:rPr>
        <w:t>减少。财政拨款支出</w:t>
      </w:r>
      <w:r>
        <w:rPr>
          <w:rFonts w:hint="eastAsia" w:ascii="仿宋_GB2312" w:eastAsia="仿宋_GB2312"/>
          <w:sz w:val="32"/>
          <w:szCs w:val="32"/>
          <w:lang w:val="en-US" w:eastAsia="zh-CN"/>
        </w:rPr>
        <w:t>19.68</w:t>
      </w:r>
      <w:r>
        <w:rPr>
          <w:rFonts w:hint="eastAsia" w:ascii="仿宋_GB2312" w:eastAsia="仿宋_GB2312"/>
          <w:sz w:val="32"/>
          <w:szCs w:val="32"/>
        </w:rPr>
        <w:t>万元，与上年相比，减少</w:t>
      </w:r>
      <w:r>
        <w:rPr>
          <w:rFonts w:hint="eastAsia" w:ascii="仿宋_GB2312" w:eastAsia="仿宋_GB2312"/>
          <w:sz w:val="32"/>
          <w:szCs w:val="32"/>
          <w:lang w:val="en-US" w:eastAsia="zh-CN"/>
        </w:rPr>
        <w:t>2.28</w:t>
      </w:r>
      <w:r>
        <w:rPr>
          <w:rFonts w:hint="eastAsia" w:ascii="仿宋_GB2312" w:eastAsia="仿宋_GB2312"/>
          <w:sz w:val="32"/>
          <w:szCs w:val="32"/>
        </w:rPr>
        <w:t>万元，降低</w:t>
      </w:r>
      <w:r>
        <w:rPr>
          <w:rFonts w:hint="eastAsia" w:ascii="仿宋_GB2312" w:eastAsia="仿宋_GB2312"/>
          <w:sz w:val="32"/>
          <w:szCs w:val="32"/>
          <w:lang w:val="en-US" w:eastAsia="zh-CN"/>
        </w:rPr>
        <w:t>12.5</w:t>
      </w:r>
      <w:r>
        <w:rPr>
          <w:rFonts w:ascii="仿宋_GB2312" w:eastAsia="仿宋_GB2312"/>
          <w:sz w:val="32"/>
          <w:szCs w:val="32"/>
        </w:rPr>
        <w:t>%</w:t>
      </w:r>
      <w:r>
        <w:rPr>
          <w:rFonts w:hint="eastAsia" w:ascii="仿宋_GB2312" w:eastAsia="仿宋_GB2312"/>
          <w:sz w:val="32"/>
          <w:szCs w:val="32"/>
          <w:lang w:eastAsia="zh-CN"/>
        </w:rPr>
        <w:t>，其中：基本支出</w:t>
      </w:r>
      <w:r>
        <w:rPr>
          <w:rFonts w:hint="eastAsia" w:ascii="仿宋_GB2312" w:eastAsia="仿宋_GB2312"/>
          <w:sz w:val="32"/>
          <w:szCs w:val="32"/>
          <w:lang w:val="en-US" w:eastAsia="zh-CN"/>
        </w:rPr>
        <w:t>19.68，项目支出0万元。</w:t>
      </w:r>
      <w:r>
        <w:rPr>
          <w:rFonts w:hint="eastAsia" w:ascii="仿宋_GB2312" w:eastAsia="仿宋_GB2312"/>
          <w:sz w:val="32"/>
          <w:szCs w:val="32"/>
        </w:rPr>
        <w:t>增减变化的主要原因是：</w:t>
      </w:r>
      <w:r>
        <w:rPr>
          <w:rFonts w:hint="eastAsia" w:ascii="仿宋_GB2312" w:eastAsia="仿宋_GB2312"/>
          <w:sz w:val="32"/>
          <w:szCs w:val="32"/>
          <w:lang w:eastAsia="zh-CN"/>
        </w:rPr>
        <w:t>人员减少。财政拨款结转结余</w:t>
      </w:r>
      <w:r>
        <w:rPr>
          <w:rFonts w:hint="eastAsia" w:ascii="仿宋_GB2312" w:eastAsia="仿宋_GB2312"/>
          <w:sz w:val="32"/>
          <w:szCs w:val="32"/>
          <w:lang w:val="en-US" w:eastAsia="zh-CN"/>
        </w:rPr>
        <w:t>0万元，增加0万元吗，增长0%。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与预算情况相比：</w:t>
      </w:r>
      <w:r>
        <w:rPr>
          <w:rFonts w:hint="eastAsia" w:ascii="仿宋_GB2312" w:eastAsia="仿宋_GB2312"/>
          <w:sz w:val="32"/>
          <w:szCs w:val="32"/>
          <w:lang w:val="en-US" w:eastAsia="zh-CN"/>
        </w:rPr>
        <w:t>2017年初预算数为22.85万元，决算数为19.68万元，相比减少3.17，下降13.87%。</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（二）一般公共预算支出决算情况说明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lang w:val="en-US" w:eastAsia="zh-CN"/>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19.68</w:t>
      </w:r>
      <w:r>
        <w:rPr>
          <w:rFonts w:hint="eastAsia" w:ascii="仿宋_GB2312" w:eastAsia="仿宋_GB2312"/>
          <w:sz w:val="32"/>
          <w:szCs w:val="32"/>
        </w:rPr>
        <w:t>万元。与上年相比，减少</w:t>
      </w:r>
      <w:r>
        <w:rPr>
          <w:rFonts w:hint="eastAsia" w:ascii="仿宋_GB2312" w:eastAsia="仿宋_GB2312"/>
          <w:sz w:val="32"/>
          <w:szCs w:val="32"/>
          <w:lang w:val="en-US" w:eastAsia="zh-CN"/>
        </w:rPr>
        <w:t>2.28</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12.5</w:t>
      </w:r>
      <w:r>
        <w:rPr>
          <w:rFonts w:ascii="仿宋_GB2312" w:eastAsia="仿宋_GB2312"/>
          <w:sz w:val="32"/>
          <w:szCs w:val="32"/>
        </w:rPr>
        <w:t>%</w:t>
      </w:r>
      <w:r>
        <w:rPr>
          <w:rFonts w:hint="eastAsia" w:ascii="仿宋_GB2312" w:eastAsia="仿宋_GB2312"/>
          <w:sz w:val="32"/>
          <w:szCs w:val="32"/>
        </w:rPr>
        <w:t>。增减变化的主要原因是：</w:t>
      </w:r>
      <w:r>
        <w:rPr>
          <w:rFonts w:hint="eastAsia" w:ascii="仿宋_GB2312" w:eastAsia="仿宋_GB2312"/>
          <w:sz w:val="32"/>
          <w:szCs w:val="32"/>
          <w:lang w:eastAsia="zh-CN"/>
        </w:rPr>
        <w:t>人员减少。其中：按功能分类科目，社会保障和就业支出</w:t>
      </w:r>
      <w:r>
        <w:rPr>
          <w:rFonts w:hint="eastAsia" w:ascii="仿宋_GB2312" w:eastAsia="仿宋_GB2312"/>
          <w:sz w:val="32"/>
          <w:szCs w:val="32"/>
          <w:lang w:val="en-US" w:eastAsia="zh-CN"/>
        </w:rPr>
        <w:t>19.68万元。按经济分类科目，工资福利支出17.64万元，对个人和家庭的补助</w:t>
      </w:r>
      <w:r>
        <w:rPr>
          <w:rFonts w:hint="eastAsia" w:ascii="仿宋_GB2312" w:eastAsia="仿宋_GB2312"/>
          <w:sz w:val="32"/>
          <w:szCs w:val="32"/>
          <w:lang w:val="en-US" w:eastAsia="zh-CN"/>
        </w:rPr>
        <w:tab/>
      </w:r>
      <w:r>
        <w:rPr>
          <w:rFonts w:hint="eastAsia" w:ascii="仿宋_GB2312" w:eastAsia="仿宋_GB2312"/>
          <w:sz w:val="32"/>
          <w:szCs w:val="32"/>
          <w:lang w:val="en-US" w:eastAsia="zh-CN"/>
        </w:rPr>
        <w:t>2.04万元。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与预算情况相比：</w:t>
      </w:r>
      <w:r>
        <w:rPr>
          <w:rFonts w:hint="eastAsia" w:ascii="仿宋_GB2312" w:eastAsia="仿宋_GB2312"/>
          <w:sz w:val="32"/>
          <w:szCs w:val="32"/>
          <w:lang w:val="en-US" w:eastAsia="zh-CN"/>
        </w:rPr>
        <w:t>2017年初预算数为22.85万元，决算数为19.68万元，相比减少3.17，下降13.87%。</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三、军粮供应站结转结余情况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rPr>
      </w:pPr>
      <w:r>
        <w:rPr>
          <w:rFonts w:hint="eastAsia" w:ascii="仿宋_GB2312" w:hAnsi="宋体" w:eastAsia="仿宋_GB2312" w:cs="宋体"/>
          <w:kern w:val="0"/>
          <w:sz w:val="32"/>
          <w:szCs w:val="32"/>
        </w:rPr>
        <w:t>201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年“</w:t>
      </w:r>
      <w:r>
        <w:rPr>
          <w:rFonts w:hint="eastAsia" w:ascii="仿宋_GB2312" w:eastAsia="仿宋_GB2312"/>
          <w:sz w:val="32"/>
          <w:szCs w:val="32"/>
        </w:rPr>
        <w:t>三公”经费支出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，与上年相比，减少</w:t>
      </w:r>
      <w:r>
        <w:rPr>
          <w:rFonts w:hint="eastAsia" w:ascii="仿宋_GB2312" w:eastAsia="仿宋_GB2312"/>
          <w:sz w:val="32"/>
          <w:szCs w:val="32"/>
          <w:lang w:val="en-US" w:eastAsia="zh-CN"/>
        </w:rPr>
        <w:t>0万元，降低0%</w:t>
      </w:r>
      <w:r>
        <w:rPr>
          <w:rFonts w:hint="eastAsia" w:ascii="仿宋_GB2312" w:eastAsia="仿宋_GB2312"/>
          <w:sz w:val="32"/>
          <w:szCs w:val="32"/>
        </w:rPr>
        <w:t>。其中</w:t>
      </w:r>
      <w:r>
        <w:rPr>
          <w:rFonts w:hint="eastAsia" w:ascii="仿宋_GB2312" w:eastAsia="仿宋_GB2312"/>
          <w:sz w:val="32"/>
          <w:szCs w:val="32"/>
          <w:lang w:eastAsia="zh-CN"/>
        </w:rPr>
        <w:t>，</w:t>
      </w:r>
      <w:r>
        <w:rPr>
          <w:rFonts w:hint="eastAsia" w:ascii="仿宋_GB2312" w:eastAsia="仿宋_GB2312"/>
          <w:sz w:val="32"/>
          <w:szCs w:val="32"/>
        </w:rPr>
        <w:t>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上年同期</w:t>
      </w:r>
      <w:r>
        <w:rPr>
          <w:rFonts w:hint="eastAsia" w:ascii="仿宋_GB2312" w:eastAsia="仿宋_GB2312"/>
          <w:sz w:val="32"/>
          <w:szCs w:val="32"/>
          <w:lang w:eastAsia="zh-CN"/>
        </w:rPr>
        <w:t>减少</w:t>
      </w:r>
      <w:r>
        <w:rPr>
          <w:rFonts w:hint="eastAsia" w:ascii="仿宋_GB2312" w:eastAsia="仿宋_GB2312"/>
          <w:sz w:val="32"/>
          <w:szCs w:val="32"/>
          <w:lang w:val="en-US" w:eastAsia="zh-CN"/>
        </w:rPr>
        <w:t>0万元，降低0%，减少原因是：无</w:t>
      </w:r>
      <w:r>
        <w:rPr>
          <w:rFonts w:hint="eastAsia" w:ascii="仿宋_GB2312" w:eastAsia="仿宋_GB2312"/>
          <w:sz w:val="32"/>
          <w:szCs w:val="32"/>
        </w:rPr>
        <w:t>公务用车运行维护费;公务接待费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0万元，降低0%，减少原因是：无</w:t>
      </w:r>
      <w:r>
        <w:rPr>
          <w:rFonts w:hint="eastAsia" w:ascii="仿宋_GB2312" w:eastAsia="仿宋_GB2312"/>
          <w:sz w:val="32"/>
          <w:szCs w:val="32"/>
        </w:rPr>
        <w:t>公务接待费</w:t>
      </w:r>
      <w:r>
        <w:rPr>
          <w:rFonts w:hint="eastAsia" w:ascii="仿宋_GB2312" w:eastAsia="仿宋_GB2312"/>
          <w:sz w:val="32"/>
          <w:szCs w:val="32"/>
          <w:lang w:eastAsia="zh-CN"/>
        </w:rPr>
        <w:t>。</w:t>
      </w:r>
      <w:r>
        <w:rPr>
          <w:rFonts w:hint="eastAsia" w:ascii="仿宋_GB2312" w:eastAsia="仿宋_GB2312"/>
          <w:sz w:val="32"/>
          <w:szCs w:val="32"/>
        </w:rPr>
        <w:t>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万元，主要是上级来人检查工作用餐等。国内公务接待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2017年“三公”经费的年初预算数为0万元，决算数为0万元，增加0万元，增长0%。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hAnsi="Calibri" w:eastAsia="仿宋_GB2312"/>
          <w:sz w:val="32"/>
          <w:szCs w:val="32"/>
          <w:lang w:val="en-GB"/>
        </w:rPr>
      </w:pPr>
      <w:r>
        <w:rPr>
          <w:rFonts w:ascii="仿宋_GB2312" w:eastAsia="仿宋_GB2312"/>
          <w:sz w:val="32"/>
          <w:szCs w:val="32"/>
        </w:rPr>
        <w:t>2017</w:t>
      </w:r>
      <w:r>
        <w:rPr>
          <w:rFonts w:hint="eastAsia" w:ascii="仿宋_GB2312" w:eastAsia="仿宋_GB2312"/>
          <w:sz w:val="32"/>
          <w:szCs w:val="32"/>
        </w:rPr>
        <w:t>年度机关运行经费支出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万元，比上年减少46.17万元，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w:t>
      </w:r>
      <w:r>
        <w:rPr>
          <w:rFonts w:hint="eastAsia" w:ascii="仿宋_GB2312" w:eastAsia="仿宋_GB2312"/>
          <w:sz w:val="32"/>
          <w:szCs w:val="32"/>
          <w:lang w:eastAsia="zh-CN"/>
        </w:rPr>
        <w:t>无</w:t>
      </w:r>
      <w:r>
        <w:rPr>
          <w:rFonts w:hint="eastAsia" w:ascii="仿宋_GB2312" w:eastAsia="仿宋_GB2312"/>
          <w:sz w:val="32"/>
          <w:szCs w:val="32"/>
        </w:rPr>
        <w:t>机关运行经费支出。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hAnsi="Calibri" w:eastAsia="仿宋_GB2312"/>
          <w:sz w:val="32"/>
          <w:szCs w:val="32"/>
          <w:lang w:val="en-GB"/>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0" w:name="_GoBack"/>
      <w:r>
        <w:rPr>
          <w:rFonts w:hint="eastAsia" w:ascii="仿宋_GB2312" w:eastAsia="仿宋_GB2312"/>
          <w:sz w:val="32"/>
          <w:szCs w:val="32"/>
        </w:rPr>
        <w:t>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bookmarkEnd w:id="0"/>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截至2017年12月31日，资产总计42.5万元，其中：流动资产42.5万元，固定资产0万元，其中：房屋0（平方米），价值0万元，共有车辆0辆，价值0万元，其中：</w:t>
      </w:r>
      <w:r>
        <w:rPr>
          <w:rFonts w:hint="eastAsia" w:ascii="仿宋_GB2312" w:eastAsia="仿宋_GB2312"/>
          <w:sz w:val="32"/>
          <w:szCs w:val="32"/>
          <w:lang w:val="en-US" w:eastAsia="zh-CN"/>
        </w:rPr>
        <w:t>副部（省）级及以上领导用车0辆，</w:t>
      </w:r>
      <w:r>
        <w:rPr>
          <w:rFonts w:hint="eastAsia" w:ascii="仿宋_GB2312" w:eastAsia="仿宋_GB2312"/>
          <w:sz w:val="32"/>
          <w:szCs w:val="32"/>
        </w:rPr>
        <w:t>一般公务用车0辆、一般执法执勤用车0辆、单位价值50万元以上通用设备0台（套）、单位价值100万元以上专用设备0台（套），其他固定资产价值0万元。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（三）军粮供应站项目支出情况和项目绩效评价情况说明</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军粮供应站无</w:t>
      </w:r>
      <w:r>
        <w:rPr>
          <w:rFonts w:hint="eastAsia" w:ascii="仿宋_GB2312" w:hAnsi="宋体" w:eastAsia="仿宋_GB2312" w:cs="宋体"/>
          <w:kern w:val="0"/>
          <w:sz w:val="32"/>
          <w:szCs w:val="32"/>
        </w:rPr>
        <w:t>实行绩效管理的项目</w:t>
      </w:r>
      <w:r>
        <w:rPr>
          <w:rFonts w:hint="eastAsia" w:ascii="仿宋_GB2312" w:hAnsi="Calibri" w:eastAsia="仿宋_GB2312"/>
          <w:sz w:val="32"/>
          <w:szCs w:val="32"/>
          <w:lang w:val="en-GB"/>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b/>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rPr>
        <w:t>208（类）02（款）09（项）：  部队供应。208（类）05（款）05（项）：  机关事业单位基本养老保险缴费支出。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46462"/>
    <w:multiLevelType w:val="singleLevel"/>
    <w:tmpl w:val="FFF46462"/>
    <w:lvl w:ilvl="0" w:tentative="0">
      <w:start w:val="2"/>
      <w:numFmt w:val="chineseCounting"/>
      <w:suff w:val="nothing"/>
      <w:lvlText w:val="%1、"/>
      <w:lvlJc w:val="left"/>
      <w:rPr>
        <w:rFonts w:hint="eastAsia"/>
      </w:rPr>
    </w:lvl>
  </w:abstractNum>
  <w:abstractNum w:abstractNumId="1">
    <w:nsid w:val="FFFFFF89"/>
    <w:multiLevelType w:val="singleLevel"/>
    <w:tmpl w:val="FFFFFF89"/>
    <w:lvl w:ilvl="0" w:tentative="0">
      <w:start w:val="1"/>
      <w:numFmt w:val="bullet"/>
      <w:pStyle w:val="2"/>
      <w:lvlText w:val=""/>
      <w:lvlJc w:val="left"/>
      <w:pPr>
        <w:tabs>
          <w:tab w:val="left" w:pos="360"/>
        </w:tabs>
        <w:ind w:left="360" w:hanging="360" w:hangingChars="20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D05670A"/>
    <w:rsid w:val="00004B4E"/>
    <w:rsid w:val="000342A6"/>
    <w:rsid w:val="00041328"/>
    <w:rsid w:val="0049064E"/>
    <w:rsid w:val="004F0E9C"/>
    <w:rsid w:val="00522D46"/>
    <w:rsid w:val="0053281A"/>
    <w:rsid w:val="006246EA"/>
    <w:rsid w:val="00695FF0"/>
    <w:rsid w:val="006C3E03"/>
    <w:rsid w:val="0077766F"/>
    <w:rsid w:val="008553BC"/>
    <w:rsid w:val="00C873BF"/>
    <w:rsid w:val="00CB2B01"/>
    <w:rsid w:val="00DD35E3"/>
    <w:rsid w:val="00E403CC"/>
    <w:rsid w:val="00EF2C77"/>
    <w:rsid w:val="00F96CD3"/>
    <w:rsid w:val="08E8352E"/>
    <w:rsid w:val="13984A6B"/>
    <w:rsid w:val="14C07FEF"/>
    <w:rsid w:val="1C245EBD"/>
    <w:rsid w:val="2A450BAB"/>
    <w:rsid w:val="308D1ED7"/>
    <w:rsid w:val="399E54FF"/>
    <w:rsid w:val="4F361878"/>
    <w:rsid w:val="5F0703C4"/>
    <w:rsid w:val="5F577CCC"/>
    <w:rsid w:val="68946370"/>
    <w:rsid w:val="6C5251C6"/>
    <w:rsid w:val="6D535020"/>
    <w:rsid w:val="7D056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6"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List Bullet"/>
    <w:basedOn w:val="1"/>
    <w:qFormat/>
    <w:uiPriority w:val="0"/>
    <w:pPr>
      <w:numPr>
        <w:ilvl w:val="0"/>
        <w:numId w:val="1"/>
      </w:numPr>
      <w:contextualSpacing/>
    </w:pPr>
  </w:style>
  <w:style w:type="paragraph" w:styleId="3">
    <w:name w:val="Body Text Indent 3"/>
    <w:basedOn w:val="1"/>
    <w:link w:val="7"/>
    <w:qFormat/>
    <w:uiPriority w:val="6"/>
    <w:pPr>
      <w:spacing w:after="120"/>
      <w:ind w:left="420"/>
    </w:pPr>
    <w:rPr>
      <w:color w:val="000000"/>
      <w:kern w:val="1"/>
      <w:sz w:val="16"/>
      <w:szCs w:val="16"/>
    </w:rPr>
  </w:style>
  <w:style w:type="paragraph" w:styleId="4">
    <w:name w:val="Normal (Web)"/>
    <w:basedOn w:val="1"/>
    <w:qFormat/>
    <w:uiPriority w:val="7"/>
    <w:pPr>
      <w:widowControl/>
      <w:spacing w:before="100" w:beforeAutospacing="1" w:after="100" w:afterAutospacing="1"/>
      <w:jc w:val="left"/>
    </w:pPr>
    <w:rPr>
      <w:rFonts w:ascii="宋体" w:hAnsi="宋体" w:cs="宋体"/>
      <w:color w:val="000000"/>
      <w:kern w:val="0"/>
      <w:sz w:val="24"/>
    </w:rPr>
  </w:style>
  <w:style w:type="character" w:customStyle="1" w:styleId="7">
    <w:name w:val="正文文本缩进 3 Char"/>
    <w:basedOn w:val="5"/>
    <w:link w:val="3"/>
    <w:qFormat/>
    <w:uiPriority w:val="6"/>
    <w:rPr>
      <w:color w:val="000000"/>
      <w:kern w:val="1"/>
      <w:sz w:val="16"/>
      <w:szCs w:val="16"/>
    </w:rPr>
  </w:style>
  <w:style w:type="paragraph" w:customStyle="1" w:styleId="8">
    <w:name w:val="p0"/>
    <w:basedOn w:val="1"/>
    <w:uiPriority w:val="0"/>
    <w:pPr>
      <w:widowControl/>
    </w:pPr>
    <w:rPr>
      <w:color w:val="000000"/>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9</Pages>
  <Words>567</Words>
  <Characters>3234</Characters>
  <Lines>26</Lines>
  <Paragraphs>7</Paragraphs>
  <TotalTime>2</TotalTime>
  <ScaleCrop>false</ScaleCrop>
  <LinksUpToDate>false</LinksUpToDate>
  <CharactersWithSpaces>3794</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2018-12-23T03:31:51Z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