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年度木垒县委员会督查室部门决算公开说明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w:t>
      </w:r>
      <w:r>
        <w:rPr>
          <w:rFonts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rPr>
        <w:t>录</w:t>
      </w:r>
    </w:p>
    <w:p>
      <w:pPr>
        <w:spacing w:line="580" w:lineRule="exact"/>
        <w:ind w:firstLine="643" w:firstLineChars="200"/>
        <w:rPr>
          <w:rFonts w:ascii="仿宋_GB2312" w:hAnsi="仿宋_GB2312" w:eastAsia="仿宋_GB2312" w:cs="仿宋_GB2312"/>
          <w:b/>
          <w:kern w:val="0"/>
          <w:sz w:val="32"/>
          <w:szCs w:val="32"/>
        </w:rPr>
      </w:pP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第一部分</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木垒县委员会督查室概况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第二部分木垒县委员会督查室决算情况说明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专业名词解释</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第四部分木垒县委员会督查室决算报表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张）：《资产负债简表》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五、部门决算附表（</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六、填报说明附表（</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《××年度一般公共预算“三公”经费支出情况表》</w:t>
      </w:r>
    </w:p>
    <w:p>
      <w:pPr>
        <w:spacing w:line="520" w:lineRule="exact"/>
        <w:jc w:val="center"/>
        <w:rPr>
          <w:rFonts w:ascii="仿宋_GB2312" w:hAnsi="仿宋_GB2312" w:eastAsia="仿宋_GB2312" w:cs="仿宋_GB2312"/>
          <w:sz w:val="32"/>
          <w:szCs w:val="32"/>
        </w:rPr>
      </w:pPr>
    </w:p>
    <w:p>
      <w:pPr>
        <w:spacing w:line="520" w:lineRule="exact"/>
        <w:jc w:val="center"/>
        <w:rPr>
          <w:rFonts w:ascii="仿宋_GB2312" w:hAnsi="仿宋_GB2312" w:eastAsia="仿宋_GB2312" w:cs="仿宋_GB2312"/>
          <w:sz w:val="32"/>
          <w:szCs w:val="32"/>
        </w:rPr>
      </w:pPr>
    </w:p>
    <w:p>
      <w:pPr>
        <w:spacing w:line="520" w:lineRule="exact"/>
        <w:jc w:val="center"/>
        <w:rPr>
          <w:rFonts w:ascii="仿宋_GB2312" w:hAnsi="仿宋_GB2312" w:eastAsia="仿宋_GB2312" w:cs="仿宋_GB2312"/>
          <w:sz w:val="32"/>
          <w:szCs w:val="32"/>
        </w:rPr>
      </w:pPr>
    </w:p>
    <w:p>
      <w:pPr>
        <w:spacing w:line="520" w:lineRule="exact"/>
        <w:jc w:val="center"/>
        <w:rPr>
          <w:rFonts w:ascii="仿宋_GB2312" w:hAnsi="仿宋_GB2312" w:eastAsia="仿宋_GB2312" w:cs="仿宋_GB2312"/>
          <w:sz w:val="32"/>
          <w:szCs w:val="32"/>
        </w:rPr>
      </w:pPr>
    </w:p>
    <w:p>
      <w:pPr>
        <w:spacing w:line="520" w:lineRule="exact"/>
        <w:jc w:val="center"/>
        <w:rPr>
          <w:rFonts w:ascii="仿宋_GB2312" w:hAnsi="仿宋_GB2312" w:eastAsia="仿宋_GB2312" w:cs="仿宋_GB2312"/>
          <w:sz w:val="32"/>
          <w:szCs w:val="32"/>
        </w:rPr>
      </w:pPr>
    </w:p>
    <w:p>
      <w:pPr>
        <w:spacing w:line="520" w:lineRule="exact"/>
        <w:jc w:val="center"/>
        <w:rPr>
          <w:rFonts w:ascii="仿宋_GB2312" w:hAnsi="仿宋_GB2312" w:eastAsia="仿宋_GB2312" w:cs="仿宋_GB2312"/>
          <w:sz w:val="32"/>
          <w:szCs w:val="32"/>
        </w:rPr>
      </w:pPr>
    </w:p>
    <w:p>
      <w:pPr>
        <w:spacing w:line="520" w:lineRule="exact"/>
        <w:jc w:val="center"/>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第一部分</w:t>
      </w:r>
      <w:r>
        <w:rPr>
          <w:rFonts w:hint="eastAsia" w:ascii="仿宋_GB2312" w:hAnsi="仿宋_GB2312" w:eastAsia="仿宋_GB2312" w:cs="仿宋_GB2312"/>
          <w:kern w:val="0"/>
          <w:sz w:val="32"/>
          <w:szCs w:val="32"/>
        </w:rPr>
        <w:t>木垒县委员会督查室办</w:t>
      </w:r>
      <w:r>
        <w:rPr>
          <w:rFonts w:hint="eastAsia" w:ascii="仿宋_GB2312" w:hAnsi="仿宋_GB2312" w:eastAsia="仿宋_GB2312" w:cs="仿宋_GB2312"/>
          <w:sz w:val="32"/>
          <w:szCs w:val="32"/>
        </w:rPr>
        <w:t>概况</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w:t>
      </w:r>
      <w:r>
        <w:rPr>
          <w:rFonts w:hint="eastAsia" w:ascii="仿宋_GB2312" w:hAnsi="仿宋_GB2312" w:eastAsia="仿宋_GB2312" w:cs="仿宋_GB2312"/>
          <w:sz w:val="32"/>
          <w:szCs w:val="32"/>
        </w:rPr>
        <w:t>一、</w:t>
      </w:r>
      <w:r>
        <w:rPr>
          <w:rFonts w:hint="eastAsia" w:ascii="仿宋_GB2312" w:hAnsi="仿宋_GB2312" w:eastAsia="仿宋_GB2312" w:cs="仿宋_GB2312"/>
          <w:kern w:val="0"/>
          <w:sz w:val="32"/>
          <w:szCs w:val="32"/>
        </w:rPr>
        <w:t>木垒县委员会督查室</w:t>
      </w:r>
      <w:r>
        <w:rPr>
          <w:rFonts w:hint="eastAsia" w:ascii="仿宋_GB2312" w:hAnsi="仿宋_GB2312" w:eastAsia="仿宋_GB2312" w:cs="仿宋_GB2312"/>
          <w:sz w:val="32"/>
          <w:szCs w:val="32"/>
        </w:rPr>
        <w:t>基本情况</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、主要职能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（一）负责对乡镇及县直部门、单位贯彻落实上级决策的督促检查；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（二）负责区、州、县主要领导同志的指示、批示的催办查办工作；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（三）负责向县委、县人民政府反馈决策落实情况，为完善决策提供依据；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（四）负责对决策实施过程中出现的热点、难点问题，适时开展督查调研，提出建议；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负责县委、县人民政府综合目标管理工作考核领导小组办公室的工作。组织召集领导小组成员会议，研究解决综合目标管理工作相关事宜；协调有关部门做好综合目标考核的有关工作；审核确定各乡（镇）、各部门考核目标、组织督查考核，综合汇总评定，提出考核定等意见，提交领导小组审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（六）负责向督查工作领导小组和干部管理部门提出对干部的评价意见或使用建议；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（七）承办县委、县人民政府交办的其他事项。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二、内设机构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根据工作需要，县委督查室设</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个内设股室。</w:t>
      </w:r>
    </w:p>
    <w:p>
      <w:pPr>
        <w:numPr>
          <w:ilvl w:val="0"/>
          <w:numId w:val="1"/>
        </w:numPr>
        <w:rPr>
          <w:rFonts w:ascii="仿宋_GB2312" w:hAnsi="仿宋_GB2312" w:eastAsia="仿宋_GB2312" w:cs="仿宋_GB2312"/>
          <w:sz w:val="32"/>
          <w:szCs w:val="32"/>
        </w:rPr>
      </w:pPr>
      <w:r>
        <w:rPr>
          <w:rFonts w:hint="eastAsia" w:ascii="仿宋_GB2312" w:hAnsi="仿宋_GB2312" w:eastAsia="仿宋_GB2312" w:cs="仿宋_GB2312"/>
          <w:sz w:val="32"/>
          <w:szCs w:val="32"/>
        </w:rPr>
        <w:t>综合保障股</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（二）目标管理股</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（三）督查调研股</w:t>
      </w:r>
    </w:p>
    <w:p>
      <w:pPr>
        <w:pStyle w:val="2"/>
        <w:spacing w:before="0" w:beforeAutospacing="0" w:after="0" w:afterAutospacing="0" w:line="360" w:lineRule="atLeast"/>
        <w:ind w:firstLine="64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人员情况：行政在职人员</w:t>
      </w:r>
      <w:r>
        <w:rPr>
          <w:rFonts w:ascii="仿宋_GB2312" w:hAnsi="仿宋_GB2312" w:eastAsia="仿宋_GB2312" w:cs="仿宋_GB2312"/>
          <w:color w:val="000000"/>
          <w:sz w:val="32"/>
          <w:szCs w:val="32"/>
          <w:shd w:val="clear" w:color="auto" w:fill="FFFFFF"/>
        </w:rPr>
        <w:t>4</w:t>
      </w:r>
      <w:r>
        <w:rPr>
          <w:rFonts w:hint="eastAsia" w:ascii="仿宋_GB2312" w:hAnsi="仿宋_GB2312" w:eastAsia="仿宋_GB2312" w:cs="仿宋_GB2312"/>
          <w:color w:val="000000"/>
          <w:sz w:val="32"/>
          <w:szCs w:val="32"/>
          <w:shd w:val="clear" w:color="auto" w:fill="FFFFFF"/>
        </w:rPr>
        <w:t>名</w:t>
      </w:r>
      <w:r>
        <w:rPr>
          <w:rFonts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rPr>
        <w:t>；工勤编</w:t>
      </w:r>
      <w:r>
        <w:rPr>
          <w:rFonts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人</w:t>
      </w:r>
    </w:p>
    <w:p>
      <w:pPr>
        <w:pStyle w:val="2"/>
        <w:spacing w:before="0" w:beforeAutospacing="0" w:after="0" w:afterAutospacing="0" w:line="360" w:lineRule="atLeast"/>
        <w:ind w:left="319" w:firstLine="32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部门领导实配情况：实配领导</w:t>
      </w:r>
      <w:r>
        <w:rPr>
          <w:rFonts w:ascii="仿宋_GB2312" w:hAnsi="仿宋_GB2312" w:eastAsia="仿宋_GB2312" w:cs="仿宋_GB2312"/>
          <w:color w:val="000000"/>
          <w:sz w:val="32"/>
          <w:szCs w:val="32"/>
          <w:shd w:val="clear" w:color="auto" w:fill="FFFFFF"/>
        </w:rPr>
        <w:t>1</w:t>
      </w:r>
      <w:r>
        <w:rPr>
          <w:rFonts w:hint="eastAsia" w:ascii="仿宋_GB2312" w:hAnsi="仿宋_GB2312" w:eastAsia="仿宋_GB2312" w:cs="仿宋_GB2312"/>
          <w:color w:val="000000"/>
          <w:sz w:val="32"/>
          <w:szCs w:val="32"/>
          <w:shd w:val="clear" w:color="auto" w:fill="FFFFFF"/>
        </w:rPr>
        <w:t>名</w:t>
      </w:r>
      <w:r>
        <w:rPr>
          <w:rFonts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rPr>
        <w:t>；</w:t>
      </w:r>
    </w:p>
    <w:p>
      <w:pPr>
        <w:pStyle w:val="2"/>
        <w:spacing w:before="0" w:beforeAutospacing="0" w:after="0" w:afterAutospacing="0" w:line="360" w:lineRule="atLeast"/>
        <w:ind w:firstLine="64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sz w:val="32"/>
          <w:szCs w:val="32"/>
          <w:shd w:val="clear" w:color="auto" w:fill="FFFFFF"/>
        </w:rPr>
        <w:t>内设科室核定情况：内设机构按“事业分类改革”方案进行设置，机构数为</w:t>
      </w:r>
      <w:r>
        <w:rPr>
          <w:rFonts w:ascii="仿宋_GB2312" w:hAnsi="仿宋_GB2312" w:eastAsia="仿宋_GB2312" w:cs="仿宋_GB2312"/>
          <w:sz w:val="32"/>
          <w:szCs w:val="32"/>
          <w:shd w:val="clear" w:color="auto" w:fill="FFFFFF"/>
        </w:rPr>
        <w:t> 1</w:t>
      </w:r>
      <w:r>
        <w:rPr>
          <w:rFonts w:hint="eastAsia" w:ascii="仿宋_GB2312" w:hAnsi="仿宋_GB2312" w:eastAsia="仿宋_GB2312" w:cs="仿宋_GB2312"/>
          <w:sz w:val="32"/>
          <w:szCs w:val="32"/>
          <w:shd w:val="clear" w:color="auto" w:fill="FFFFFF"/>
        </w:rPr>
        <w:t>个。内设科室实配职数</w:t>
      </w:r>
      <w:r>
        <w:rPr>
          <w:rFonts w:ascii="仿宋_GB2312" w:hAnsi="仿宋_GB2312" w:eastAsia="仿宋_GB2312" w:cs="仿宋_GB2312"/>
          <w:sz w:val="32"/>
          <w:szCs w:val="32"/>
          <w:shd w:val="clear" w:color="auto" w:fill="FFFFFF"/>
        </w:rPr>
        <w:t> 1</w:t>
      </w:r>
      <w:r>
        <w:rPr>
          <w:rFonts w:hint="eastAsia" w:ascii="仿宋_GB2312" w:hAnsi="仿宋_GB2312" w:eastAsia="仿宋_GB2312" w:cs="仿宋_GB2312"/>
          <w:sz w:val="32"/>
          <w:szCs w:val="32"/>
          <w:shd w:val="clear" w:color="auto" w:fill="FFFFFF"/>
        </w:rPr>
        <w:t>名。</w:t>
      </w:r>
    </w:p>
    <w:p>
      <w:pPr>
        <w:pStyle w:val="2"/>
        <w:spacing w:before="0" w:beforeAutospacing="0" w:after="0" w:afterAutospacing="0" w:line="360" w:lineRule="atLeast"/>
        <w:ind w:left="465"/>
        <w:jc w:val="both"/>
        <w:rPr>
          <w:rFonts w:ascii="仿宋_GB2312" w:hAnsi="仿宋_GB2312" w:eastAsia="仿宋_GB2312" w:cs="仿宋_GB2312"/>
          <w:color w:val="000000"/>
          <w:sz w:val="32"/>
          <w:szCs w:val="32"/>
          <w:shd w:val="clear" w:color="auto" w:fill="FFFFFF"/>
        </w:rPr>
      </w:pPr>
      <w:r>
        <w:rPr>
          <w:rFonts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color w:val="000000"/>
          <w:sz w:val="32"/>
          <w:szCs w:val="32"/>
          <w:shd w:val="clear" w:color="auto" w:fill="FFFFFF"/>
        </w:rPr>
        <w:t>三</w:t>
      </w:r>
      <w:r>
        <w:rPr>
          <w:rFonts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人员编制</w:t>
      </w:r>
    </w:p>
    <w:p>
      <w:pPr>
        <w:pStyle w:val="2"/>
        <w:spacing w:before="0" w:beforeAutospacing="0" w:after="0" w:afterAutospacing="0" w:line="540" w:lineRule="atLeast"/>
        <w:ind w:left="465" w:firstLine="320" w:firstLineChars="100"/>
        <w:jc w:val="both"/>
        <w:rPr>
          <w:rFonts w:ascii="仿宋_GB2312" w:eastAsia="仿宋_GB2312" w:cs="Times New Roman"/>
          <w:color w:val="000000"/>
          <w:sz w:val="32"/>
          <w:szCs w:val="32"/>
          <w:shd w:val="clear" w:color="auto" w:fill="FFFFFF"/>
        </w:rPr>
      </w:pPr>
      <w:r>
        <w:rPr>
          <w:rFonts w:ascii="仿宋_GB2312" w:eastAsia="仿宋_GB2312"/>
          <w:sz w:val="32"/>
          <w:szCs w:val="32"/>
          <w:shd w:val="clear" w:color="auto" w:fill="FFFFFF"/>
        </w:rPr>
        <w:t>2017</w:t>
      </w:r>
      <w:r>
        <w:rPr>
          <w:rFonts w:hint="eastAsia" w:ascii="仿宋_GB2312" w:eastAsia="仿宋_GB2312"/>
          <w:sz w:val="32"/>
          <w:szCs w:val="32"/>
          <w:shd w:val="clear" w:color="auto" w:fill="FFFFFF"/>
        </w:rPr>
        <w:t>年末，督查室行政编制总计</w:t>
      </w:r>
      <w:r>
        <w:rPr>
          <w:rFonts w:ascii="仿宋_GB2312" w:eastAsia="仿宋_GB2312"/>
          <w:sz w:val="32"/>
          <w:szCs w:val="32"/>
          <w:shd w:val="clear" w:color="auto" w:fill="FFFFFF"/>
        </w:rPr>
        <w:t>6</w:t>
      </w:r>
      <w:r>
        <w:rPr>
          <w:rFonts w:hint="eastAsia" w:ascii="仿宋_GB2312" w:eastAsia="仿宋_GB2312"/>
          <w:sz w:val="32"/>
          <w:szCs w:val="32"/>
          <w:shd w:val="clear" w:color="auto" w:fill="FFFFFF"/>
        </w:rPr>
        <w:t>个，其中行政编制</w:t>
      </w:r>
      <w:r>
        <w:rPr>
          <w:rFonts w:ascii="仿宋_GB2312" w:eastAsia="仿宋_GB2312"/>
          <w:sz w:val="32"/>
          <w:szCs w:val="32"/>
          <w:shd w:val="clear" w:color="auto" w:fill="FFFFFF"/>
        </w:rPr>
        <w:t>6</w:t>
      </w:r>
      <w:r>
        <w:rPr>
          <w:rFonts w:hint="eastAsia" w:ascii="仿宋_GB2312" w:eastAsia="仿宋_GB2312"/>
          <w:sz w:val="32"/>
          <w:szCs w:val="32"/>
          <w:shd w:val="clear" w:color="auto" w:fill="FFFFFF"/>
        </w:rPr>
        <w:t>人，工勤编</w:t>
      </w:r>
      <w:r>
        <w:rPr>
          <w:rFonts w:ascii="仿宋_GB2312" w:eastAsia="仿宋_GB2312"/>
          <w:sz w:val="32"/>
          <w:szCs w:val="32"/>
          <w:shd w:val="clear" w:color="auto" w:fill="FFFFFF"/>
        </w:rPr>
        <w:t>1</w:t>
      </w:r>
      <w:r>
        <w:rPr>
          <w:rFonts w:hint="eastAsia" w:ascii="仿宋_GB2312" w:eastAsia="仿宋_GB2312"/>
          <w:sz w:val="32"/>
          <w:szCs w:val="32"/>
          <w:shd w:val="clear" w:color="auto" w:fill="FFFFFF"/>
        </w:rPr>
        <w:t>人，年末实有人数</w:t>
      </w:r>
      <w:r>
        <w:rPr>
          <w:rFonts w:ascii="仿宋_GB2312" w:eastAsia="仿宋_GB2312"/>
          <w:sz w:val="32"/>
          <w:szCs w:val="32"/>
          <w:shd w:val="clear" w:color="auto" w:fill="FFFFFF"/>
        </w:rPr>
        <w:t>5</w:t>
      </w:r>
      <w:r>
        <w:rPr>
          <w:rFonts w:hint="eastAsia" w:ascii="仿宋_GB2312" w:eastAsia="仿宋_GB2312"/>
          <w:sz w:val="32"/>
          <w:szCs w:val="32"/>
          <w:shd w:val="clear" w:color="auto" w:fill="FFFFFF"/>
        </w:rPr>
        <w:t>人。</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二、木垒县委员会督查室决算单位构成。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从决算单位构成看，木垒县委员会督查室决算包括：木垒县委员会督查室部门本级决算。</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纳入木垒县委员会督查室</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年部门决算编制范围的单位名单见下表：</w:t>
      </w:r>
    </w:p>
    <w:p>
      <w:pPr>
        <w:spacing w:line="580" w:lineRule="exact"/>
        <w:ind w:firstLine="640" w:firstLineChars="200"/>
        <w:rPr>
          <w:rFonts w:ascii="仿宋_GB2312" w:hAnsi="仿宋_GB2312" w:eastAsia="仿宋_GB2312" w:cs="仿宋_GB2312"/>
          <w:sz w:val="32"/>
          <w:szCs w:val="32"/>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5460" w:type="dxa"/>
            <w:vAlign w:val="center"/>
          </w:tcPr>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1546" w:type="dxa"/>
            <w:vAlign w:val="center"/>
          </w:tcPr>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p>
        </w:tc>
        <w:tc>
          <w:tcPr>
            <w:tcW w:w="5460" w:type="dxa"/>
            <w:vAlign w:val="center"/>
          </w:tcPr>
          <w:p>
            <w:pPr>
              <w:spacing w:line="580" w:lineRule="exact"/>
              <w:ind w:left="31680" w:hanging="640" w:hanging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木垒县委员会督查室</w:t>
            </w:r>
          </w:p>
        </w:tc>
        <w:tc>
          <w:tcPr>
            <w:tcW w:w="1546" w:type="dxa"/>
            <w:vAlign w:val="center"/>
          </w:tcPr>
          <w:p>
            <w:pPr>
              <w:spacing w:line="580" w:lineRule="exact"/>
              <w:ind w:firstLine="640" w:firstLineChars="200"/>
              <w:rPr>
                <w:rFonts w:ascii="仿宋_GB2312" w:hAnsi="仿宋_GB2312" w:eastAsia="仿宋_GB2312" w:cs="仿宋_GB2312"/>
                <w:sz w:val="32"/>
                <w:szCs w:val="32"/>
              </w:rPr>
            </w:pPr>
          </w:p>
        </w:tc>
      </w:tr>
    </w:tbl>
    <w:p>
      <w:pPr>
        <w:spacing w:line="500" w:lineRule="exact"/>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第二部分</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木垒县委员会督查室决算情况说明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一、木垒县委员会督查室收支总体情况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（一）木垒县委员会督查室收入支出决算总体情况说明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400.64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与上年相比，增加</w:t>
      </w:r>
      <w:r>
        <w:rPr>
          <w:rFonts w:ascii="仿宋_GB2312" w:hAnsi="仿宋_GB2312" w:eastAsia="仿宋_GB2312" w:cs="仿宋_GB2312"/>
          <w:sz w:val="32"/>
          <w:szCs w:val="32"/>
        </w:rPr>
        <w:t>44.46</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12.48%</w:t>
      </w:r>
      <w:r>
        <w:rPr>
          <w:rFonts w:hint="eastAsia" w:ascii="仿宋_GB2312" w:hAnsi="仿宋_GB2312" w:eastAsia="仿宋_GB2312" w:cs="仿宋_GB2312"/>
          <w:sz w:val="32"/>
          <w:szCs w:val="32"/>
        </w:rPr>
        <w:t>，支出</w:t>
      </w:r>
      <w:r>
        <w:rPr>
          <w:rFonts w:ascii="仿宋_GB2312" w:hAnsi="仿宋_GB2312" w:eastAsia="仿宋_GB2312" w:cs="仿宋_GB2312"/>
          <w:sz w:val="32"/>
          <w:szCs w:val="32"/>
        </w:rPr>
        <w:t>406.82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与上年相比，增加</w:t>
      </w:r>
      <w:r>
        <w:rPr>
          <w:rFonts w:ascii="仿宋_GB2312" w:hAnsi="仿宋_GB2312" w:eastAsia="仿宋_GB2312" w:cs="仿宋_GB2312"/>
          <w:sz w:val="32"/>
          <w:szCs w:val="32"/>
        </w:rPr>
        <w:t>92.25</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29.32%</w:t>
      </w:r>
      <w:r>
        <w:rPr>
          <w:rFonts w:hint="eastAsia" w:ascii="仿宋_GB2312" w:hAnsi="仿宋_GB2312" w:eastAsia="仿宋_GB2312" w:cs="仿宋_GB2312"/>
          <w:sz w:val="32"/>
          <w:szCs w:val="32"/>
        </w:rPr>
        <w:t>，结余</w:t>
      </w:r>
      <w:r>
        <w:rPr>
          <w:rFonts w:ascii="仿宋_GB2312" w:hAnsi="仿宋_GB2312" w:eastAsia="仿宋_GB2312" w:cs="仿宋_GB2312"/>
          <w:sz w:val="32"/>
          <w:szCs w:val="32"/>
        </w:rPr>
        <w:t>35.43</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6.18</w:t>
      </w:r>
      <w:r>
        <w:rPr>
          <w:rFonts w:hint="eastAsia" w:ascii="仿宋_GB2312" w:hAnsi="仿宋_GB2312" w:eastAsia="仿宋_GB2312" w:cs="仿宋_GB2312"/>
          <w:sz w:val="32"/>
          <w:szCs w:val="32"/>
        </w:rPr>
        <w:t>降低</w:t>
      </w:r>
      <w:r>
        <w:rPr>
          <w:rFonts w:ascii="仿宋_GB2312" w:hAnsi="仿宋_GB2312" w:eastAsia="仿宋_GB2312" w:cs="仿宋_GB2312"/>
          <w:sz w:val="32"/>
          <w:szCs w:val="32"/>
        </w:rPr>
        <w:t>14.85%</w:t>
      </w:r>
      <w:r>
        <w:rPr>
          <w:rFonts w:hint="eastAsia" w:ascii="仿宋_GB2312" w:hAnsi="仿宋_GB2312" w:eastAsia="仿宋_GB2312" w:cs="仿宋_GB2312"/>
          <w:sz w:val="32"/>
          <w:szCs w:val="32"/>
        </w:rPr>
        <w:t>，减少变化主要原因：</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年无项目资金。</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191.55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400.64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209.09</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109.15%</w:t>
      </w:r>
      <w:r>
        <w:rPr>
          <w:rFonts w:hint="eastAsia" w:ascii="仿宋_GB2312" w:hAnsi="仿宋_GB2312" w:eastAsia="仿宋_GB2312" w:cs="仿宋_GB2312"/>
          <w:sz w:val="32"/>
          <w:szCs w:val="32"/>
        </w:rPr>
        <w:t>，比预算数增长主要原因是一般公共服务支出和人员经费增加。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（二）木垒县委员会督查室收入总体情况说明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本年收入合计</w:t>
      </w:r>
      <w:r>
        <w:rPr>
          <w:rFonts w:ascii="仿宋_GB2312" w:hAnsi="仿宋_GB2312" w:eastAsia="仿宋_GB2312" w:cs="仿宋_GB2312"/>
          <w:sz w:val="32"/>
          <w:szCs w:val="32"/>
        </w:rPr>
        <w:t>400.64</w:t>
      </w:r>
      <w:r>
        <w:rPr>
          <w:rFonts w:hint="eastAsia" w:ascii="仿宋_GB2312" w:hAnsi="仿宋_GB2312" w:eastAsia="仿宋_GB2312" w:cs="仿宋_GB2312"/>
          <w:sz w:val="32"/>
          <w:szCs w:val="32"/>
        </w:rPr>
        <w:t>万元，其中：财政拨款收入</w:t>
      </w:r>
      <w:r>
        <w:rPr>
          <w:rFonts w:ascii="仿宋_GB2312" w:hAnsi="仿宋_GB2312" w:eastAsia="仿宋_GB2312" w:cs="仿宋_GB2312"/>
          <w:sz w:val="32"/>
          <w:szCs w:val="32"/>
        </w:rPr>
        <w:t>400.58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99.99%</w:t>
      </w:r>
      <w:r>
        <w:rPr>
          <w:rFonts w:hint="eastAsia" w:ascii="仿宋_GB2312" w:hAnsi="仿宋_GB2312" w:eastAsia="仿宋_GB2312" w:cs="仿宋_GB2312"/>
          <w:sz w:val="32"/>
          <w:szCs w:val="32"/>
        </w:rPr>
        <w:t>；</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0.06</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0.01%</w:t>
      </w:r>
      <w:r>
        <w:rPr>
          <w:rFonts w:hint="eastAsia" w:ascii="仿宋_GB2312" w:hAnsi="仿宋_GB2312" w:eastAsia="仿宋_GB2312" w:cs="仿宋_GB2312"/>
          <w:sz w:val="32"/>
          <w:szCs w:val="32"/>
        </w:rPr>
        <w:t>，减少变化主要原因：</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年无项目资金。</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191.55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400.64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209.09</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109.15%</w:t>
      </w:r>
      <w:r>
        <w:rPr>
          <w:rFonts w:hint="eastAsia" w:ascii="仿宋_GB2312" w:hAnsi="仿宋_GB2312" w:eastAsia="仿宋_GB2312" w:cs="仿宋_GB2312"/>
          <w:sz w:val="32"/>
          <w:szCs w:val="32"/>
        </w:rPr>
        <w:t>，比预算数增长主要原因是一般公共服务支出和人员经费增加。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（三）木垒县委员会督查室支出总体情况说明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本年支出合计</w:t>
      </w:r>
      <w:r>
        <w:rPr>
          <w:rFonts w:ascii="仿宋_GB2312" w:hAnsi="仿宋_GB2312" w:eastAsia="仿宋_GB2312" w:cs="仿宋_GB2312"/>
          <w:sz w:val="32"/>
          <w:szCs w:val="32"/>
        </w:rPr>
        <w:t>406.82</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406.82</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。增减变化的主要原因：</w:t>
      </w:r>
      <w:r>
        <w:rPr>
          <w:rFonts w:ascii="仿宋_GB2312" w:eastAsia="仿宋_GB2312"/>
          <w:sz w:val="32"/>
          <w:szCs w:val="32"/>
        </w:rPr>
        <w:t>2017</w:t>
      </w:r>
      <w:r>
        <w:rPr>
          <w:rFonts w:hint="eastAsia" w:ascii="仿宋_GB2312" w:eastAsia="仿宋_GB2312"/>
          <w:sz w:val="32"/>
          <w:szCs w:val="32"/>
        </w:rPr>
        <w:t>年无项目支出。</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191.55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年度支出</w:t>
      </w:r>
      <w:r>
        <w:rPr>
          <w:rFonts w:ascii="仿宋_GB2312" w:hAnsi="仿宋_GB2312" w:eastAsia="仿宋_GB2312" w:cs="仿宋_GB2312"/>
          <w:sz w:val="32"/>
          <w:szCs w:val="32"/>
        </w:rPr>
        <w:t>406.82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215.27</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112.38%</w:t>
      </w:r>
      <w:r>
        <w:rPr>
          <w:rFonts w:hint="eastAsia" w:ascii="仿宋_GB2312" w:hAnsi="仿宋_GB2312" w:eastAsia="仿宋_GB2312" w:cs="仿宋_GB2312"/>
          <w:sz w:val="32"/>
          <w:szCs w:val="32"/>
        </w:rPr>
        <w:t>，比预算数增长主要原因是一般公共服务支出和人员经费增加。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二、木垒县委员会督查室财政拨款收支情况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年度财政拨款收入</w:t>
      </w:r>
      <w:r>
        <w:rPr>
          <w:rFonts w:ascii="仿宋_GB2312" w:hAnsi="仿宋_GB2312" w:eastAsia="仿宋_GB2312" w:cs="仿宋_GB2312"/>
          <w:sz w:val="32"/>
          <w:szCs w:val="32"/>
        </w:rPr>
        <w:t>400.58</w:t>
      </w:r>
      <w:r>
        <w:rPr>
          <w:rFonts w:hint="eastAsia" w:ascii="仿宋_GB2312" w:hAnsi="仿宋_GB2312" w:eastAsia="仿宋_GB2312" w:cs="仿宋_GB2312"/>
          <w:sz w:val="32"/>
          <w:szCs w:val="32"/>
        </w:rPr>
        <w:t>万元，与上年相比，增加</w:t>
      </w:r>
      <w:r>
        <w:rPr>
          <w:rFonts w:ascii="仿宋_GB2312" w:hAnsi="仿宋_GB2312" w:eastAsia="仿宋_GB2312" w:cs="仿宋_GB2312"/>
          <w:sz w:val="32"/>
          <w:szCs w:val="32"/>
        </w:rPr>
        <w:t>130.63</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48.39%</w:t>
      </w:r>
      <w:r>
        <w:rPr>
          <w:rFonts w:hint="eastAsia" w:ascii="仿宋_GB2312" w:hAnsi="仿宋_GB2312" w:eastAsia="仿宋_GB2312" w:cs="仿宋_GB2312"/>
          <w:sz w:val="32"/>
          <w:szCs w:val="32"/>
        </w:rPr>
        <w:t>。增长的主要原因是：人员工资和日常公用经费均有所增长。财政拨款支出</w:t>
      </w:r>
      <w:r>
        <w:rPr>
          <w:rFonts w:ascii="仿宋_GB2312" w:hAnsi="仿宋_GB2312" w:eastAsia="仿宋_GB2312" w:cs="仿宋_GB2312"/>
          <w:sz w:val="32"/>
          <w:szCs w:val="32"/>
        </w:rPr>
        <w:t>400.58</w:t>
      </w:r>
      <w:r>
        <w:rPr>
          <w:rFonts w:hint="eastAsia" w:ascii="仿宋_GB2312" w:hAnsi="仿宋_GB2312" w:eastAsia="仿宋_GB2312" w:cs="仿宋_GB2312"/>
          <w:sz w:val="32"/>
          <w:szCs w:val="32"/>
        </w:rPr>
        <w:t>万元，与上年相比，增加</w:t>
      </w:r>
      <w:r>
        <w:rPr>
          <w:rFonts w:ascii="仿宋_GB2312" w:hAnsi="仿宋_GB2312" w:eastAsia="仿宋_GB2312" w:cs="仿宋_GB2312"/>
          <w:sz w:val="32"/>
          <w:szCs w:val="32"/>
        </w:rPr>
        <w:t>130.63</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48.39%</w:t>
      </w:r>
      <w:r>
        <w:rPr>
          <w:rFonts w:hint="eastAsia" w:ascii="仿宋_GB2312" w:hAnsi="仿宋_GB2312" w:eastAsia="仿宋_GB2312" w:cs="仿宋_GB2312"/>
          <w:sz w:val="32"/>
          <w:szCs w:val="32"/>
        </w:rPr>
        <w:t>。其中：基本支出：</w:t>
      </w:r>
      <w:r>
        <w:rPr>
          <w:rFonts w:ascii="仿宋_GB2312" w:hAnsi="仿宋_GB2312" w:eastAsia="仿宋_GB2312" w:cs="仿宋_GB2312"/>
          <w:sz w:val="32"/>
          <w:szCs w:val="32"/>
        </w:rPr>
        <w:t>400.58</w:t>
      </w:r>
      <w:r>
        <w:rPr>
          <w:rFonts w:hint="eastAsia" w:ascii="仿宋_GB2312" w:hAnsi="仿宋_GB2312" w:eastAsia="仿宋_GB2312" w:cs="仿宋_GB2312"/>
          <w:sz w:val="32"/>
          <w:szCs w:val="32"/>
        </w:rPr>
        <w:t>万元，项目支出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万元，增长的主要原因是：人员工资和日常公用经费均有所增长。财政拨款结转结余</w:t>
      </w:r>
      <w:r>
        <w:rPr>
          <w:rFonts w:ascii="仿宋_GB2312" w:hAnsi="仿宋_GB2312" w:eastAsia="仿宋_GB2312" w:cs="仿宋_GB2312"/>
          <w:sz w:val="32"/>
          <w:szCs w:val="32"/>
        </w:rPr>
        <w:t>35.43</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6.18</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14.85%</w:t>
      </w:r>
      <w:r>
        <w:rPr>
          <w:rFonts w:hint="eastAsia" w:ascii="仿宋_GB2312" w:hAnsi="仿宋_GB2312" w:eastAsia="仿宋_GB2312" w:cs="仿宋_GB2312"/>
          <w:sz w:val="32"/>
          <w:szCs w:val="32"/>
        </w:rPr>
        <w:t>。降低的主要原因是：其他支出增加。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191.55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400.58</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209.03</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109.12%</w:t>
      </w:r>
      <w:r>
        <w:rPr>
          <w:rFonts w:hint="eastAsia" w:ascii="仿宋_GB2312" w:hAnsi="仿宋_GB2312" w:eastAsia="仿宋_GB2312" w:cs="仿宋_GB2312"/>
          <w:sz w:val="32"/>
          <w:szCs w:val="32"/>
        </w:rPr>
        <w:t>，比预算数增长主要原因是：一般公共服务支出和人员经费增加。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年度一般公共预算财政拨款支出</w:t>
      </w:r>
      <w:r>
        <w:rPr>
          <w:rFonts w:ascii="仿宋_GB2312" w:hAnsi="仿宋_GB2312" w:eastAsia="仿宋_GB2312" w:cs="仿宋_GB2312"/>
          <w:sz w:val="32"/>
          <w:szCs w:val="32"/>
        </w:rPr>
        <w:t>400.58</w:t>
      </w:r>
      <w:r>
        <w:rPr>
          <w:rFonts w:hint="eastAsia" w:ascii="仿宋_GB2312" w:hAnsi="仿宋_GB2312" w:eastAsia="仿宋_GB2312" w:cs="仿宋_GB2312"/>
          <w:sz w:val="32"/>
          <w:szCs w:val="32"/>
        </w:rPr>
        <w:t>万元。与上年相比，增加</w:t>
      </w:r>
      <w:r>
        <w:rPr>
          <w:rFonts w:ascii="仿宋_GB2312" w:hAnsi="仿宋_GB2312" w:eastAsia="仿宋_GB2312" w:cs="仿宋_GB2312"/>
          <w:sz w:val="32"/>
          <w:szCs w:val="32"/>
        </w:rPr>
        <w:t>130.63</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48.39%</w:t>
      </w:r>
      <w:r>
        <w:rPr>
          <w:rFonts w:hint="eastAsia" w:ascii="仿宋_GB2312" w:hAnsi="仿宋_GB2312" w:eastAsia="仿宋_GB2312" w:cs="仿宋_GB2312"/>
          <w:sz w:val="32"/>
          <w:szCs w:val="32"/>
        </w:rPr>
        <w:t>。增长的主要原因是：人员工资、其他支出和日常公用经费均有所增长。其中：按功能分类科目，一般公共服务支出</w:t>
      </w:r>
      <w:r>
        <w:rPr>
          <w:rFonts w:ascii="仿宋_GB2312" w:hAnsi="仿宋_GB2312" w:eastAsia="仿宋_GB2312" w:cs="仿宋_GB2312"/>
          <w:sz w:val="32"/>
          <w:szCs w:val="32"/>
        </w:rPr>
        <w:t>317.6</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8.72</w:t>
      </w:r>
      <w:r>
        <w:rPr>
          <w:rFonts w:hint="eastAsia" w:ascii="仿宋_GB2312" w:hAnsi="仿宋_GB2312" w:eastAsia="仿宋_GB2312" w:cs="仿宋_GB2312"/>
          <w:sz w:val="32"/>
          <w:szCs w:val="32"/>
        </w:rPr>
        <w:t>万元，其他支出</w:t>
      </w:r>
      <w:r>
        <w:rPr>
          <w:rFonts w:ascii="仿宋_GB2312" w:hAnsi="仿宋_GB2312" w:eastAsia="仿宋_GB2312" w:cs="仿宋_GB2312"/>
          <w:sz w:val="32"/>
          <w:szCs w:val="32"/>
        </w:rPr>
        <w:t>74.26</w:t>
      </w:r>
      <w:r>
        <w:rPr>
          <w:rFonts w:hint="eastAsia" w:ascii="仿宋_GB2312" w:hAnsi="仿宋_GB2312" w:eastAsia="仿宋_GB2312" w:cs="仿宋_GB2312"/>
          <w:sz w:val="32"/>
          <w:szCs w:val="32"/>
        </w:rPr>
        <w:t>万元。按经济分类科目，工资福利支出</w:t>
      </w:r>
      <w:r>
        <w:rPr>
          <w:rFonts w:ascii="仿宋_GB2312" w:hAnsi="仿宋_GB2312" w:eastAsia="仿宋_GB2312" w:cs="仿宋_GB2312"/>
          <w:sz w:val="32"/>
          <w:szCs w:val="32"/>
        </w:rPr>
        <w:t>89.94</w:t>
      </w:r>
      <w:r>
        <w:rPr>
          <w:rFonts w:hint="eastAsia" w:ascii="仿宋_GB2312" w:hAnsi="仿宋_GB2312" w:eastAsia="仿宋_GB2312" w:cs="仿宋_GB2312"/>
          <w:sz w:val="32"/>
          <w:szCs w:val="32"/>
        </w:rPr>
        <w:t>万元，商品和服务支出</w:t>
      </w:r>
      <w:r>
        <w:rPr>
          <w:rFonts w:ascii="仿宋_GB2312" w:hAnsi="仿宋_GB2312" w:eastAsia="仿宋_GB2312" w:cs="仿宋_GB2312"/>
          <w:sz w:val="32"/>
          <w:szCs w:val="32"/>
        </w:rPr>
        <w:t>216.53</w:t>
      </w:r>
      <w:r>
        <w:rPr>
          <w:rFonts w:hint="eastAsia" w:ascii="仿宋_GB2312" w:hAnsi="仿宋_GB2312" w:eastAsia="仿宋_GB2312" w:cs="仿宋_GB2312"/>
          <w:sz w:val="32"/>
          <w:szCs w:val="32"/>
        </w:rPr>
        <w:t>万元，对个人和家庭的补助</w:t>
      </w:r>
      <w:r>
        <w:rPr>
          <w:rFonts w:ascii="仿宋_GB2312" w:hAnsi="仿宋_GB2312" w:eastAsia="仿宋_GB2312" w:cs="仿宋_GB2312"/>
          <w:sz w:val="32"/>
          <w:szCs w:val="32"/>
        </w:rPr>
        <w:t>94.11</w:t>
      </w:r>
      <w:r>
        <w:rPr>
          <w:rFonts w:hint="eastAsia" w:ascii="仿宋_GB2312" w:hAnsi="仿宋_GB2312" w:eastAsia="仿宋_GB2312" w:cs="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年度一般公共预算财政拨款支出</w:t>
      </w:r>
      <w:r>
        <w:rPr>
          <w:rFonts w:ascii="仿宋_GB2312" w:hAnsi="仿宋_GB2312" w:eastAsia="仿宋_GB2312" w:cs="仿宋_GB2312"/>
          <w:sz w:val="32"/>
          <w:szCs w:val="32"/>
        </w:rPr>
        <w:t>400.58</w:t>
      </w:r>
      <w:r>
        <w:rPr>
          <w:rFonts w:hint="eastAsia" w:ascii="仿宋_GB2312" w:hAnsi="仿宋_GB2312" w:eastAsia="仿宋_GB2312" w:cs="仿宋_GB2312"/>
          <w:sz w:val="32"/>
          <w:szCs w:val="32"/>
        </w:rPr>
        <w:t>万元，预算财政拨款数为</w:t>
      </w:r>
      <w:r>
        <w:rPr>
          <w:rFonts w:ascii="仿宋_GB2312" w:hAnsi="仿宋_GB2312" w:eastAsia="仿宋_GB2312" w:cs="仿宋_GB2312"/>
          <w:sz w:val="32"/>
          <w:szCs w:val="32"/>
        </w:rPr>
        <w:t>191.55</w:t>
      </w:r>
      <w:r>
        <w:rPr>
          <w:rFonts w:hint="eastAsia" w:ascii="仿宋_GB2312" w:hAnsi="仿宋_GB2312" w:eastAsia="仿宋_GB2312" w:cs="仿宋_GB2312"/>
          <w:sz w:val="32"/>
          <w:szCs w:val="32"/>
        </w:rPr>
        <w:t>万元，与预算相比增加</w:t>
      </w:r>
      <w:r>
        <w:rPr>
          <w:rFonts w:ascii="仿宋_GB2312" w:hAnsi="仿宋_GB2312" w:eastAsia="仿宋_GB2312" w:cs="仿宋_GB2312"/>
          <w:sz w:val="32"/>
          <w:szCs w:val="32"/>
        </w:rPr>
        <w:t>209.03</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109.12%</w:t>
      </w:r>
      <w:r>
        <w:rPr>
          <w:rFonts w:hint="eastAsia" w:ascii="仿宋_GB2312" w:hAnsi="仿宋_GB2312" w:eastAsia="仿宋_GB2312" w:cs="仿宋_GB2312"/>
          <w:sz w:val="32"/>
          <w:szCs w:val="32"/>
        </w:rPr>
        <w:t>，比预算数增长主要原因是一般公共服务支出和人员经费增加。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，比预算数增长主要原因是：单位无政府性基金预算收支。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，比预算数增长主要原因是：单位无政府性基金预算收支。</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三、木垒县委员会督查室结转结余情况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年末结转结余</w:t>
      </w:r>
      <w:r>
        <w:rPr>
          <w:rFonts w:ascii="仿宋_GB2312" w:hAnsi="仿宋_GB2312" w:eastAsia="仿宋_GB2312" w:cs="仿宋_GB2312"/>
          <w:sz w:val="32"/>
          <w:szCs w:val="32"/>
        </w:rPr>
        <w:t>35.43</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 xml:space="preserve"> 6.18</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14.85%</w:t>
      </w:r>
      <w:r>
        <w:rPr>
          <w:rFonts w:hint="eastAsia" w:ascii="仿宋_GB2312" w:hAnsi="仿宋_GB2312" w:eastAsia="仿宋_GB2312" w:cs="仿宋_GB2312"/>
          <w:sz w:val="32"/>
          <w:szCs w:val="32"/>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w:t>
      </w:r>
      <w:r>
        <w:rPr>
          <w:rFonts w:ascii="仿宋_GB2312" w:hAnsi="仿宋_GB2312" w:eastAsia="仿宋_GB2312" w:cs="仿宋_GB2312"/>
          <w:sz w:val="32"/>
          <w:szCs w:val="32"/>
        </w:rPr>
        <w:t>35.43</w:t>
      </w:r>
      <w:r>
        <w:rPr>
          <w:rFonts w:hint="eastAsia" w:ascii="仿宋_GB2312" w:hAnsi="仿宋_GB2312" w:eastAsia="仿宋_GB2312" w:cs="仿宋_GB2312"/>
          <w:sz w:val="32"/>
          <w:szCs w:val="32"/>
        </w:rPr>
        <w:t>万元。与上年相比，减少</w:t>
      </w:r>
      <w:r>
        <w:rPr>
          <w:rFonts w:ascii="仿宋_GB2312" w:hAnsi="仿宋_GB2312" w:eastAsia="仿宋_GB2312" w:cs="仿宋_GB2312"/>
          <w:sz w:val="32"/>
          <w:szCs w:val="32"/>
        </w:rPr>
        <w:t>6.18</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 xml:space="preserve"> 14.85 %</w:t>
      </w:r>
      <w:r>
        <w:rPr>
          <w:rFonts w:hint="eastAsia" w:ascii="仿宋_GB2312" w:hAnsi="仿宋_GB2312" w:eastAsia="仿宋_GB2312" w:cs="仿宋_GB2312"/>
          <w:sz w:val="32"/>
          <w:szCs w:val="32"/>
        </w:rPr>
        <w:t>，</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年度一般公共预算“三公”经费支出决算</w:t>
      </w:r>
      <w:r>
        <w:rPr>
          <w:rFonts w:ascii="仿宋_GB2312" w:hAnsi="仿宋_GB2312" w:eastAsia="仿宋_GB2312" w:cs="仿宋_GB2312"/>
          <w:sz w:val="32"/>
          <w:szCs w:val="32"/>
        </w:rPr>
        <w:t>7.99</w:t>
      </w:r>
      <w:r>
        <w:rPr>
          <w:rFonts w:hint="eastAsia" w:ascii="仿宋_GB2312" w:hAnsi="仿宋_GB2312" w:eastAsia="仿宋_GB2312" w:cs="仿宋_GB2312"/>
          <w:sz w:val="32"/>
          <w:szCs w:val="32"/>
        </w:rPr>
        <w:t>万元，比上年减少</w:t>
      </w:r>
      <w:r>
        <w:rPr>
          <w:rFonts w:ascii="仿宋_GB2312" w:hAnsi="仿宋_GB2312" w:eastAsia="仿宋_GB2312" w:cs="仿宋_GB2312"/>
          <w:sz w:val="32"/>
          <w:szCs w:val="32"/>
        </w:rPr>
        <w:t>2.77</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25.74%</w:t>
      </w:r>
      <w:r>
        <w:rPr>
          <w:rFonts w:hint="eastAsia" w:ascii="仿宋_GB2312" w:hAnsi="仿宋_GB2312" w:eastAsia="仿宋_GB2312" w:cs="仿宋_GB2312"/>
          <w:sz w:val="32"/>
          <w:szCs w:val="32"/>
        </w:rPr>
        <w:t>，减少原因是严格执行中央八项规定。其中，</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因公出国（境）费支出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，比上年增加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，增加原因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上年和今年都没有因公出国费用支出。公务用车购置及运行维护费支出</w:t>
      </w:r>
      <w:r>
        <w:rPr>
          <w:rFonts w:ascii="仿宋_GB2312" w:hAnsi="仿宋_GB2312" w:eastAsia="仿宋_GB2312" w:cs="仿宋_GB2312"/>
          <w:sz w:val="32"/>
          <w:szCs w:val="32"/>
        </w:rPr>
        <w:t>5.89</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73.7%</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0.92</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13.5%</w:t>
      </w:r>
      <w:r>
        <w:rPr>
          <w:rFonts w:hint="eastAsia" w:ascii="仿宋_GB2312" w:hAnsi="仿宋_GB2312" w:eastAsia="仿宋_GB2312" w:cs="仿宋_GB2312"/>
          <w:sz w:val="32"/>
          <w:szCs w:val="32"/>
        </w:rPr>
        <w:t>，减少原因是：严格执行中央八项规定；公务接待费支出</w:t>
      </w:r>
      <w:r>
        <w:rPr>
          <w:rFonts w:ascii="仿宋_GB2312" w:hAnsi="仿宋_GB2312" w:eastAsia="仿宋_GB2312" w:cs="仿宋_GB2312"/>
          <w:sz w:val="32"/>
          <w:szCs w:val="32"/>
        </w:rPr>
        <w:t>2.1</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26.28%</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1.85</w:t>
      </w:r>
      <w:r>
        <w:rPr>
          <w:rFonts w:hint="eastAsia" w:ascii="仿宋_GB2312" w:hAnsi="仿宋_GB2312" w:eastAsia="仿宋_GB2312" w:cs="仿宋_GB2312"/>
          <w:sz w:val="32"/>
          <w:szCs w:val="32"/>
        </w:rPr>
        <w:t>万元，降低</w:t>
      </w:r>
      <w:r>
        <w:rPr>
          <w:rFonts w:ascii="仿宋_GB2312" w:hAnsi="仿宋_GB2312" w:eastAsia="仿宋_GB2312" w:cs="仿宋_GB2312"/>
          <w:sz w:val="32"/>
          <w:szCs w:val="32"/>
        </w:rPr>
        <w:t>46.8%</w:t>
      </w:r>
      <w:r>
        <w:rPr>
          <w:rFonts w:hint="eastAsia" w:ascii="仿宋_GB2312" w:hAnsi="仿宋_GB2312" w:eastAsia="仿宋_GB2312" w:cs="仿宋_GB2312"/>
          <w:sz w:val="32"/>
          <w:szCs w:val="32"/>
        </w:rPr>
        <w:t>，减少原因；是严格执行中央八项规定。</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具体情况如下：</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万元，督查室单位全年使用一般公共预算财政拨款按排的出国（境）团组</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个，累计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人次，开支内容包括：无出国（境）无开支内容。</w:t>
      </w:r>
    </w:p>
    <w:p>
      <w:pPr>
        <w:spacing w:line="500" w:lineRule="exact"/>
        <w:ind w:firstLine="640" w:firstLineChars="200"/>
        <w:rPr>
          <w:rFonts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公务用车购置及运行维护费</w:t>
      </w:r>
      <w:r>
        <w:rPr>
          <w:rFonts w:ascii="仿宋_GB2312" w:hAnsi="仿宋_GB2312" w:eastAsia="仿宋_GB2312" w:cs="仿宋_GB2312"/>
          <w:sz w:val="32"/>
          <w:szCs w:val="32"/>
        </w:rPr>
        <w:t>5.89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其中，公务用车购置</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万元。公务用车运行维护费</w:t>
      </w:r>
      <w:r>
        <w:rPr>
          <w:rFonts w:ascii="仿宋_GB2312" w:hAnsi="仿宋_GB2312" w:eastAsia="仿宋_GB2312" w:cs="仿宋_GB2312"/>
          <w:sz w:val="32"/>
          <w:szCs w:val="32"/>
        </w:rPr>
        <w:t>5.89</w:t>
      </w:r>
      <w:r>
        <w:rPr>
          <w:rFonts w:hint="eastAsia" w:ascii="仿宋_GB2312" w:hAnsi="仿宋_GB2312" w:eastAsia="仿宋_GB2312" w:cs="仿宋_GB2312"/>
          <w:sz w:val="32"/>
          <w:szCs w:val="32"/>
        </w:rPr>
        <w:t>万元，主要用于燃油费，维修费，过路费，保险费等。</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年，单位一般公共财政拨款安排的公务用车购置</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辆，保有量为</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ascii="仿宋_GB2312" w:hAnsi="仿宋_GB2312" w:eastAsia="仿宋_GB2312" w:cs="仿宋_GB2312"/>
          <w:sz w:val="32"/>
          <w:szCs w:val="32"/>
        </w:rPr>
        <w:t>2.1</w:t>
      </w:r>
      <w:r>
        <w:rPr>
          <w:rFonts w:hint="eastAsia" w:ascii="仿宋_GB2312" w:hAnsi="仿宋_GB2312" w:eastAsia="仿宋_GB2312" w:cs="仿宋_GB2312"/>
          <w:sz w:val="32"/>
          <w:szCs w:val="32"/>
        </w:rPr>
        <w:t>万元。具体是：国内公务接待支出</w:t>
      </w:r>
      <w:r>
        <w:rPr>
          <w:rFonts w:ascii="仿宋_GB2312" w:hAnsi="仿宋_GB2312" w:eastAsia="仿宋_GB2312" w:cs="仿宋_GB2312"/>
          <w:sz w:val="32"/>
          <w:szCs w:val="32"/>
        </w:rPr>
        <w:t>2.1</w:t>
      </w:r>
      <w:r>
        <w:rPr>
          <w:rFonts w:hint="eastAsia" w:ascii="仿宋_GB2312" w:hAnsi="仿宋_GB2312" w:eastAsia="仿宋_GB2312" w:cs="仿宋_GB2312"/>
          <w:sz w:val="32"/>
          <w:szCs w:val="32"/>
        </w:rPr>
        <w:t>万元，主要是上级来人检查工作用餐等。督查室国内公务接待</w:t>
      </w:r>
      <w:r>
        <w:rPr>
          <w:rFonts w:ascii="仿宋_GB2312" w:hAnsi="仿宋_GB2312" w:eastAsia="仿宋_GB2312" w:cs="仿宋_GB2312"/>
          <w:sz w:val="32"/>
          <w:szCs w:val="32"/>
        </w:rPr>
        <w:t>60</w:t>
      </w:r>
      <w:r>
        <w:rPr>
          <w:rFonts w:hint="eastAsia" w:ascii="仿宋_GB2312" w:hAnsi="仿宋_GB2312" w:eastAsia="仿宋_GB2312" w:cs="仿宋_GB2312"/>
          <w:sz w:val="32"/>
          <w:szCs w:val="32"/>
        </w:rPr>
        <w:t>批次，</w:t>
      </w:r>
      <w:r>
        <w:rPr>
          <w:rFonts w:ascii="仿宋_GB2312" w:hAnsi="仿宋_GB2312" w:eastAsia="仿宋_GB2312" w:cs="仿宋_GB2312"/>
          <w:sz w:val="32"/>
          <w:szCs w:val="32"/>
        </w:rPr>
        <w:t>765</w:t>
      </w:r>
      <w:r>
        <w:rPr>
          <w:rFonts w:hint="eastAsia" w:ascii="仿宋_GB2312" w:hAnsi="仿宋_GB2312" w:eastAsia="仿宋_GB2312" w:cs="仿宋_GB2312"/>
          <w:sz w:val="32"/>
          <w:szCs w:val="32"/>
        </w:rPr>
        <w:t>人次。</w:t>
      </w:r>
    </w:p>
    <w:p>
      <w:pPr>
        <w:spacing w:line="500" w:lineRule="exact"/>
        <w:ind w:firstLine="640" w:firstLineChars="200"/>
        <w:rPr>
          <w:rFonts w:ascii="仿宋_GB2312" w:hAnsi="仿宋_GB2312" w:eastAsia="仿宋_GB2312" w:cs="仿宋_GB2312"/>
          <w:sz w:val="32"/>
          <w:szCs w:val="32"/>
          <w:lang w:val="en-GB"/>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年三公经费决算数</w:t>
      </w:r>
      <w:r>
        <w:rPr>
          <w:rFonts w:ascii="仿宋_GB2312" w:hAnsi="仿宋_GB2312" w:eastAsia="仿宋_GB2312" w:cs="仿宋_GB2312"/>
          <w:sz w:val="32"/>
          <w:szCs w:val="32"/>
        </w:rPr>
        <w:t>7.99</w:t>
      </w:r>
      <w:r>
        <w:rPr>
          <w:rFonts w:hint="eastAsia" w:ascii="仿宋_GB2312" w:hAnsi="仿宋_GB2312" w:eastAsia="仿宋_GB2312" w:cs="仿宋_GB2312"/>
          <w:sz w:val="32"/>
          <w:szCs w:val="32"/>
        </w:rPr>
        <w:t>万元，与预算相比持平。</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00" w:lineRule="exact"/>
        <w:ind w:firstLine="640" w:firstLineChars="200"/>
        <w:rPr>
          <w:rFonts w:ascii="仿宋_GB2312" w:hAnsi="仿宋_GB2312" w:eastAsia="仿宋_GB2312" w:cs="仿宋_GB2312"/>
          <w:sz w:val="32"/>
          <w:szCs w:val="32"/>
          <w:lang w:val="en-GB"/>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年度督查室单位机关运行经费支出</w:t>
      </w:r>
      <w:r>
        <w:rPr>
          <w:rFonts w:ascii="仿宋_GB2312" w:hAnsi="仿宋_GB2312" w:eastAsia="仿宋_GB2312" w:cs="仿宋_GB2312"/>
          <w:sz w:val="32"/>
          <w:szCs w:val="32"/>
        </w:rPr>
        <w:t>21.65</w:t>
      </w:r>
      <w:r>
        <w:rPr>
          <w:rFonts w:hint="eastAsia" w:ascii="仿宋_GB2312" w:hAnsi="仿宋_GB2312" w:eastAsia="仿宋_GB2312" w:cs="仿宋_GB2312"/>
          <w:sz w:val="32"/>
          <w:szCs w:val="32"/>
        </w:rPr>
        <w:t>万元，比上年增加</w:t>
      </w:r>
      <w:r>
        <w:rPr>
          <w:rFonts w:ascii="仿宋_GB2312" w:hAnsi="仿宋_GB2312" w:eastAsia="仿宋_GB2312" w:cs="仿宋_GB2312"/>
          <w:sz w:val="32"/>
          <w:szCs w:val="32"/>
        </w:rPr>
        <w:t>7.71</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55.3%</w:t>
      </w:r>
      <w:r>
        <w:rPr>
          <w:rFonts w:hint="eastAsia" w:ascii="仿宋_GB2312" w:hAnsi="仿宋_GB2312" w:eastAsia="仿宋_GB2312" w:cs="仿宋_GB2312"/>
          <w:sz w:val="32"/>
          <w:szCs w:val="32"/>
        </w:rPr>
        <w:t>，主要原因：人员工资、其他支出和日常公用经费均有所增长。</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督查室政府采购计划</w:t>
      </w:r>
      <w:r>
        <w:rPr>
          <w:rFonts w:ascii="仿宋_GB2312" w:eastAsia="仿宋_GB2312"/>
          <w:sz w:val="32"/>
          <w:szCs w:val="32"/>
        </w:rPr>
        <w:t xml:space="preserve"> 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万元；实际采购</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10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日，资产总计</w:t>
      </w:r>
      <w:r>
        <w:rPr>
          <w:rFonts w:ascii="仿宋_GB2312" w:hAnsi="仿宋_GB2312" w:eastAsia="仿宋_GB2312" w:cs="仿宋_GB2312"/>
          <w:sz w:val="32"/>
          <w:szCs w:val="32"/>
        </w:rPr>
        <w:t>88.08</w:t>
      </w:r>
      <w:r>
        <w:rPr>
          <w:rFonts w:hint="eastAsia" w:ascii="仿宋_GB2312" w:hAnsi="仿宋_GB2312" w:eastAsia="仿宋_GB2312" w:cs="仿宋_GB2312"/>
          <w:sz w:val="32"/>
          <w:szCs w:val="32"/>
        </w:rPr>
        <w:t>万元，其中：流动资产</w:t>
      </w:r>
      <w:r>
        <w:rPr>
          <w:rFonts w:ascii="仿宋_GB2312" w:hAnsi="仿宋_GB2312" w:eastAsia="仿宋_GB2312" w:cs="仿宋_GB2312"/>
          <w:sz w:val="32"/>
          <w:szCs w:val="32"/>
        </w:rPr>
        <w:t>51.14</w:t>
      </w:r>
      <w:r>
        <w:rPr>
          <w:rFonts w:hint="eastAsia" w:ascii="仿宋_GB2312" w:hAnsi="仿宋_GB2312" w:eastAsia="仿宋_GB2312" w:cs="仿宋_GB2312"/>
          <w:sz w:val="32"/>
          <w:szCs w:val="32"/>
        </w:rPr>
        <w:t>万元，固定资产</w:t>
      </w:r>
      <w:r>
        <w:rPr>
          <w:rFonts w:ascii="仿宋_GB2312" w:hAnsi="仿宋_GB2312" w:eastAsia="仿宋_GB2312" w:cs="仿宋_GB2312"/>
          <w:sz w:val="32"/>
          <w:szCs w:val="32"/>
        </w:rPr>
        <w:t>36.94</w:t>
      </w:r>
      <w:r>
        <w:rPr>
          <w:rFonts w:hint="eastAsia" w:ascii="仿宋_GB2312" w:hAnsi="仿宋_GB2312" w:eastAsia="仿宋_GB2312" w:cs="仿宋_GB2312"/>
          <w:sz w:val="32"/>
          <w:szCs w:val="32"/>
        </w:rPr>
        <w:t>万元，其中：房屋</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（平方米）价值</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辆，价值</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万元，其中：部级领导干部用车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辆、一般公务用车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辆，一般执法执勤用车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辆，特种专业技术用车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辆，其他用车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万元以通用设备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台，单位价值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台，其他固定资产价值</w:t>
      </w:r>
      <w:r>
        <w:rPr>
          <w:rFonts w:ascii="仿宋_GB2312" w:hAnsi="仿宋_GB2312" w:eastAsia="仿宋_GB2312" w:cs="仿宋_GB2312"/>
          <w:sz w:val="32"/>
          <w:szCs w:val="32"/>
        </w:rPr>
        <w:t>16.94</w:t>
      </w:r>
      <w:r>
        <w:rPr>
          <w:rFonts w:hint="eastAsia" w:ascii="仿宋_GB2312" w:hAnsi="仿宋_GB2312" w:eastAsia="仿宋_GB2312" w:cs="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日，督查室单位资产有偿使用收入合计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万元，资产处置收入合计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万元，其中：已缴国库</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万元，已缴财政专户</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万元，应缴未缴</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万元，单位留用</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年度，本部门实行绩效管理项目</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万元，项目支出预算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万元，年末本部门单位民生项目和重点支出项目的绩效评价开展情况和结果无。</w:t>
      </w:r>
    </w:p>
    <w:p>
      <w:pPr>
        <w:spacing w:line="500" w:lineRule="exact"/>
        <w:ind w:firstLine="640" w:firstLineChars="200"/>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spacing w:line="500" w:lineRule="exact"/>
        <w:rPr>
          <w:rFonts w:ascii="仿宋_GB2312" w:hAnsi="仿宋_GB2312" w:eastAsia="仿宋_GB2312" w:cs="仿宋_GB2312"/>
          <w:sz w:val="32"/>
          <w:szCs w:val="32"/>
        </w:rPr>
      </w:pPr>
    </w:p>
    <w:p>
      <w:pPr>
        <w:spacing w:line="500" w:lineRule="exact"/>
        <w:ind w:firstLine="2240" w:firstLineChars="700"/>
        <w:outlineLvl w:val="0"/>
        <w:rPr>
          <w:rFonts w:ascii="仿宋_GB2312" w:hAnsi="仿宋_GB2312" w:eastAsia="仿宋_GB2312" w:cs="仿宋_GB2312"/>
          <w:sz w:val="32"/>
          <w:szCs w:val="32"/>
        </w:rPr>
      </w:pPr>
    </w:p>
    <w:p>
      <w:pPr>
        <w:spacing w:line="500" w:lineRule="exact"/>
        <w:ind w:firstLine="2240" w:firstLineChars="700"/>
        <w:outlineLvl w:val="0"/>
        <w:rPr>
          <w:rFonts w:ascii="仿宋_GB2312" w:hAnsi="仿宋_GB2312" w:eastAsia="仿宋_GB2312" w:cs="仿宋_GB2312"/>
          <w:sz w:val="32"/>
          <w:szCs w:val="32"/>
        </w:rPr>
      </w:pPr>
    </w:p>
    <w:p>
      <w:pPr>
        <w:spacing w:line="500" w:lineRule="exact"/>
        <w:ind w:firstLine="2240" w:firstLineChars="7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第三部分</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专业名词解释</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rPr>
        <w:t>。</w:t>
      </w:r>
      <w:r>
        <w:rPr>
          <w:rFonts w:ascii="仿宋_GB2312" w:hAnsi="仿宋_GB2312" w:eastAsia="仿宋_GB2312" w:cs="仿宋_GB2312"/>
          <w:sz w:val="32"/>
          <w:szCs w:val="32"/>
        </w:rPr>
        <w:t>201</w:t>
      </w:r>
      <w:r>
        <w:rPr>
          <w:rFonts w:hint="eastAsia" w:ascii="仿宋_GB2312" w:hAnsi="仿宋_GB2312" w:eastAsia="仿宋_GB2312" w:cs="仿宋_GB2312"/>
          <w:sz w:val="32"/>
          <w:szCs w:val="32"/>
        </w:rPr>
        <w:t>（类）</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（款）</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（项）：指人力资源事务行政运行。</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w:t>
      </w:r>
      <w:r>
        <w:rPr>
          <w:rFonts w:ascii="仿宋_GB2312" w:hAnsi="仿宋_GB2312" w:eastAsia="仿宋_GB2312" w:cs="仿宋_GB2312"/>
          <w:sz w:val="32"/>
          <w:szCs w:val="32"/>
        </w:rPr>
        <w:t>05</w:t>
      </w:r>
      <w:r>
        <w:rPr>
          <w:rFonts w:hint="eastAsia" w:ascii="仿宋_GB2312" w:hAnsi="仿宋_GB2312" w:eastAsia="仿宋_GB2312" w:cs="仿宋_GB2312"/>
          <w:sz w:val="32"/>
          <w:szCs w:val="32"/>
        </w:rPr>
        <w:t>（款）</w:t>
      </w:r>
      <w:r>
        <w:rPr>
          <w:rFonts w:ascii="仿宋_GB2312" w:hAnsi="仿宋_GB2312" w:eastAsia="仿宋_GB2312" w:cs="仿宋_GB2312"/>
          <w:sz w:val="32"/>
          <w:szCs w:val="32"/>
        </w:rPr>
        <w:t>05</w:t>
      </w:r>
      <w:r>
        <w:rPr>
          <w:rFonts w:hint="eastAsia" w:ascii="仿宋_GB2312" w:hAnsi="仿宋_GB2312" w:eastAsia="仿宋_GB2312" w:cs="仿宋_GB2312"/>
          <w:sz w:val="32"/>
          <w:szCs w:val="32"/>
        </w:rPr>
        <w:t>（项）：指机关事业单位基本养老保险缴费支出，</w:t>
      </w:r>
      <w:r>
        <w:rPr>
          <w:rFonts w:ascii="仿宋_GB2312" w:hAnsi="仿宋_GB2312" w:eastAsia="仿宋_GB2312" w:cs="仿宋_GB2312"/>
          <w:sz w:val="32"/>
          <w:szCs w:val="32"/>
        </w:rPr>
        <w:t>201</w:t>
      </w:r>
      <w:r>
        <w:rPr>
          <w:rFonts w:hint="eastAsia" w:ascii="仿宋_GB2312" w:hAnsi="仿宋_GB2312" w:eastAsia="仿宋_GB2312" w:cs="仿宋_GB2312"/>
          <w:sz w:val="32"/>
          <w:szCs w:val="32"/>
        </w:rPr>
        <w:t>（类）</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（款）</w:t>
      </w:r>
      <w:r>
        <w:rPr>
          <w:rFonts w:ascii="仿宋_GB2312" w:hAnsi="仿宋_GB2312" w:eastAsia="仿宋_GB2312" w:cs="仿宋_GB2312"/>
          <w:sz w:val="32"/>
          <w:szCs w:val="32"/>
        </w:rPr>
        <w:t>06</w:t>
      </w:r>
      <w:r>
        <w:rPr>
          <w:rFonts w:hint="eastAsia" w:ascii="仿宋_GB2312" w:hAnsi="仿宋_GB2312" w:eastAsia="仿宋_GB2312" w:cs="仿宋_GB2312"/>
          <w:sz w:val="32"/>
          <w:szCs w:val="32"/>
        </w:rPr>
        <w:t>（项）：指军队转业干部安置。</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w:t>
      </w:r>
      <w:r>
        <w:rPr>
          <w:rFonts w:ascii="仿宋_GB2312" w:hAnsi="仿宋_GB2312" w:eastAsia="仿宋_GB2312" w:cs="仿宋_GB2312"/>
          <w:sz w:val="32"/>
          <w:szCs w:val="32"/>
        </w:rPr>
        <w:t>08</w:t>
      </w:r>
      <w:r>
        <w:rPr>
          <w:rFonts w:hint="eastAsia" w:ascii="仿宋_GB2312" w:hAnsi="仿宋_GB2312" w:eastAsia="仿宋_GB2312" w:cs="仿宋_GB2312"/>
          <w:sz w:val="32"/>
          <w:szCs w:val="32"/>
        </w:rPr>
        <w:t>（款）</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（项）：指死亡抚恤，</w:t>
      </w:r>
      <w:r>
        <w:rPr>
          <w:rFonts w:ascii="仿宋_GB2312" w:hAnsi="仿宋_GB2312" w:eastAsia="仿宋_GB2312" w:cs="仿宋_GB2312"/>
          <w:sz w:val="32"/>
          <w:szCs w:val="32"/>
        </w:rPr>
        <w:t>229</w:t>
      </w:r>
      <w:r>
        <w:rPr>
          <w:rFonts w:hint="eastAsia" w:ascii="仿宋_GB2312" w:hAnsi="仿宋_GB2312" w:eastAsia="仿宋_GB2312" w:cs="仿宋_GB2312"/>
          <w:sz w:val="32"/>
          <w:szCs w:val="32"/>
        </w:rPr>
        <w:t>（类）</w:t>
      </w:r>
      <w:r>
        <w:rPr>
          <w:rFonts w:ascii="仿宋_GB2312" w:hAnsi="仿宋_GB2312" w:eastAsia="仿宋_GB2312" w:cs="仿宋_GB2312"/>
          <w:sz w:val="32"/>
          <w:szCs w:val="32"/>
        </w:rPr>
        <w:t>99</w:t>
      </w:r>
      <w:r>
        <w:rPr>
          <w:rFonts w:hint="eastAsia" w:ascii="仿宋_GB2312" w:hAnsi="仿宋_GB2312" w:eastAsia="仿宋_GB2312" w:cs="仿宋_GB2312"/>
          <w:sz w:val="32"/>
          <w:szCs w:val="32"/>
        </w:rPr>
        <w:t>（款）</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（项）：指其他事务支出。</w:t>
      </w:r>
    </w:p>
    <w:p>
      <w:pPr>
        <w:spacing w:line="500" w:lineRule="exact"/>
        <w:jc w:val="center"/>
        <w:outlineLvl w:val="0"/>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第四部分</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部门决算报表（见附表）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年度一般公共预算“三公”经费支出情况表》</w:t>
      </w:r>
    </w:p>
    <w:p>
      <w:pPr>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
    <w:altName w:val="Arial"/>
    <w:panose1 w:val="00000000000000000000"/>
    <w:charset w:val="00"/>
    <w:family w:val="roman"/>
    <w:pitch w:val="default"/>
    <w:sig w:usb0="00000000" w:usb1="00000000" w:usb2="00000000" w:usb3="00000000" w:csb0="00000001" w:csb1="00000000"/>
  </w:font>
  <w:font w:name="方正小标宋_GBK">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E911B"/>
    <w:multiLevelType w:val="singleLevel"/>
    <w:tmpl w:val="55DE911B"/>
    <w:lvl w:ilvl="0" w:tentative="0">
      <w:start w:val="1"/>
      <w:numFmt w:val="chineseCounting"/>
      <w:suff w:val="nothing"/>
      <w:lvlText w:val="（%1）"/>
      <w:lvlJc w:val="left"/>
      <w:rPr>
        <w:rFonts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03AFA"/>
    <w:rsid w:val="00022B3C"/>
    <w:rsid w:val="000369DD"/>
    <w:rsid w:val="0005503D"/>
    <w:rsid w:val="0006768D"/>
    <w:rsid w:val="0008326B"/>
    <w:rsid w:val="00090F58"/>
    <w:rsid w:val="00091196"/>
    <w:rsid w:val="00096322"/>
    <w:rsid w:val="000B42FF"/>
    <w:rsid w:val="000C0339"/>
    <w:rsid w:val="000D08E4"/>
    <w:rsid w:val="00103778"/>
    <w:rsid w:val="00116108"/>
    <w:rsid w:val="00154B59"/>
    <w:rsid w:val="00170D78"/>
    <w:rsid w:val="001B1026"/>
    <w:rsid w:val="001B1166"/>
    <w:rsid w:val="001B66F8"/>
    <w:rsid w:val="001C762A"/>
    <w:rsid w:val="001D4B07"/>
    <w:rsid w:val="0020602C"/>
    <w:rsid w:val="00281292"/>
    <w:rsid w:val="002A5C7A"/>
    <w:rsid w:val="002B5C54"/>
    <w:rsid w:val="002D0D2D"/>
    <w:rsid w:val="002F1DB2"/>
    <w:rsid w:val="0034573A"/>
    <w:rsid w:val="003539E5"/>
    <w:rsid w:val="0039041A"/>
    <w:rsid w:val="00390F3E"/>
    <w:rsid w:val="003930A8"/>
    <w:rsid w:val="003A6872"/>
    <w:rsid w:val="003D0953"/>
    <w:rsid w:val="003F6818"/>
    <w:rsid w:val="00421A18"/>
    <w:rsid w:val="00470971"/>
    <w:rsid w:val="004A1CE4"/>
    <w:rsid w:val="00521C51"/>
    <w:rsid w:val="00525EC3"/>
    <w:rsid w:val="00574AC6"/>
    <w:rsid w:val="00583399"/>
    <w:rsid w:val="005C4E26"/>
    <w:rsid w:val="00610188"/>
    <w:rsid w:val="00623C01"/>
    <w:rsid w:val="00632B98"/>
    <w:rsid w:val="00674AFB"/>
    <w:rsid w:val="0073691C"/>
    <w:rsid w:val="007B0276"/>
    <w:rsid w:val="007B4C0B"/>
    <w:rsid w:val="007F6E52"/>
    <w:rsid w:val="0082096A"/>
    <w:rsid w:val="0083603C"/>
    <w:rsid w:val="00843C84"/>
    <w:rsid w:val="008572F3"/>
    <w:rsid w:val="00887283"/>
    <w:rsid w:val="008B2C1B"/>
    <w:rsid w:val="008F0607"/>
    <w:rsid w:val="00912D92"/>
    <w:rsid w:val="00921646"/>
    <w:rsid w:val="00950814"/>
    <w:rsid w:val="009621F0"/>
    <w:rsid w:val="00977619"/>
    <w:rsid w:val="009857CD"/>
    <w:rsid w:val="009A5F86"/>
    <w:rsid w:val="009C73A1"/>
    <w:rsid w:val="009E6E0A"/>
    <w:rsid w:val="00A04C25"/>
    <w:rsid w:val="00A52BC7"/>
    <w:rsid w:val="00A95B08"/>
    <w:rsid w:val="00AF6786"/>
    <w:rsid w:val="00B27A41"/>
    <w:rsid w:val="00B453FD"/>
    <w:rsid w:val="00B77292"/>
    <w:rsid w:val="00BA72E0"/>
    <w:rsid w:val="00BD12B3"/>
    <w:rsid w:val="00BF5420"/>
    <w:rsid w:val="00BF5765"/>
    <w:rsid w:val="00BF6DFE"/>
    <w:rsid w:val="00C04964"/>
    <w:rsid w:val="00C41622"/>
    <w:rsid w:val="00C42BC1"/>
    <w:rsid w:val="00C72BB4"/>
    <w:rsid w:val="00CA0320"/>
    <w:rsid w:val="00CB3A5E"/>
    <w:rsid w:val="00CB3B24"/>
    <w:rsid w:val="00CC5655"/>
    <w:rsid w:val="00CC5DB9"/>
    <w:rsid w:val="00CD49FB"/>
    <w:rsid w:val="00CE1D7F"/>
    <w:rsid w:val="00CF5C01"/>
    <w:rsid w:val="00D237BF"/>
    <w:rsid w:val="00D661DB"/>
    <w:rsid w:val="00D701E5"/>
    <w:rsid w:val="00DA5437"/>
    <w:rsid w:val="00E008F1"/>
    <w:rsid w:val="00E3613D"/>
    <w:rsid w:val="00E37312"/>
    <w:rsid w:val="00E806C1"/>
    <w:rsid w:val="00E95ED1"/>
    <w:rsid w:val="00EC6992"/>
    <w:rsid w:val="00EE0552"/>
    <w:rsid w:val="00EE1959"/>
    <w:rsid w:val="00EE3176"/>
    <w:rsid w:val="00EE54FC"/>
    <w:rsid w:val="00F106DD"/>
    <w:rsid w:val="00F21BAD"/>
    <w:rsid w:val="00F30CF0"/>
    <w:rsid w:val="00F42E71"/>
    <w:rsid w:val="00F438A5"/>
    <w:rsid w:val="00F84345"/>
    <w:rsid w:val="00FA70FB"/>
    <w:rsid w:val="00FB72B7"/>
    <w:rsid w:val="00FC6BC3"/>
    <w:rsid w:val="00FE2BD3"/>
    <w:rsid w:val="133813E8"/>
    <w:rsid w:val="216E5D9F"/>
    <w:rsid w:val="225B789A"/>
    <w:rsid w:val="25B36B90"/>
    <w:rsid w:val="2F421496"/>
    <w:rsid w:val="30587F69"/>
    <w:rsid w:val="3A344171"/>
    <w:rsid w:val="49507DA5"/>
    <w:rsid w:val="499A1075"/>
    <w:rsid w:val="4D806C86"/>
    <w:rsid w:val="4E7E4D99"/>
    <w:rsid w:val="5DE458F2"/>
    <w:rsid w:val="62AD00C5"/>
    <w:rsid w:val="65E25E53"/>
    <w:rsid w:val="68567D3D"/>
    <w:rsid w:val="6AF81A7B"/>
    <w:rsid w:val="6D535020"/>
    <w:rsid w:val="71261662"/>
    <w:rsid w:val="7772334D"/>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14</Pages>
  <Words>974</Words>
  <Characters>5557</Characters>
  <Lines>0</Lines>
  <Paragraphs>0</Paragraphs>
  <TotalTime>307</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2018-12-20T12:08:18Z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