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ascii="仿宋_GB2312" w:hAnsi="宋体" w:eastAsia="仿宋_GB2312"/>
          <w:sz w:val="30"/>
          <w:szCs w:val="30"/>
        </w:rPr>
      </w:pPr>
    </w:p>
    <w:p>
      <w:pPr>
        <w:spacing w:line="580" w:lineRule="exact"/>
        <w:jc w:val="center"/>
        <w:rPr>
          <w:rFonts w:hint="eastAsia" w:ascii="黑体" w:hAnsi="宋体" w:eastAsia="黑体"/>
          <w:sz w:val="36"/>
          <w:szCs w:val="36"/>
        </w:rPr>
      </w:pPr>
      <w:r>
        <w:rPr>
          <w:rFonts w:hint="eastAsia" w:ascii="黑体" w:hAnsi="宋体" w:eastAsia="黑体"/>
          <w:sz w:val="36"/>
          <w:szCs w:val="36"/>
        </w:rPr>
        <w:t>2017年度木垒哈萨克自治县商务和经济信息</w:t>
      </w:r>
    </w:p>
    <w:p>
      <w:pPr>
        <w:spacing w:line="580" w:lineRule="exact"/>
        <w:jc w:val="center"/>
        <w:rPr>
          <w:rFonts w:ascii="黑体" w:hAnsi="宋体" w:eastAsia="黑体"/>
          <w:sz w:val="36"/>
          <w:szCs w:val="36"/>
        </w:rPr>
      </w:pPr>
      <w:r>
        <w:rPr>
          <w:rFonts w:hint="eastAsia" w:ascii="黑体" w:hAnsi="宋体" w:eastAsia="黑体"/>
          <w:sz w:val="36"/>
          <w:szCs w:val="36"/>
        </w:rPr>
        <w:t>化委员会决算公开说明</w:t>
      </w:r>
    </w:p>
    <w:p>
      <w:pPr>
        <w:spacing w:line="580" w:lineRule="exact"/>
        <w:ind w:firstLine="600" w:firstLineChars="200"/>
        <w:rPr>
          <w:rFonts w:ascii="仿宋_GB2312" w:hAnsi="宋体" w:eastAsia="仿宋_GB2312"/>
          <w:sz w:val="30"/>
          <w:szCs w:val="30"/>
        </w:rPr>
      </w:pPr>
    </w:p>
    <w:p>
      <w:pPr>
        <w:spacing w:line="580" w:lineRule="exact"/>
        <w:jc w:val="center"/>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目  录</w:t>
      </w:r>
    </w:p>
    <w:p>
      <w:pPr>
        <w:spacing w:line="580" w:lineRule="exact"/>
        <w:ind w:firstLine="643" w:firstLineChars="200"/>
        <w:rPr>
          <w:rFonts w:ascii="仿宋_GB2312" w:hAnsi="仿宋_GB2312" w:eastAsia="仿宋_GB2312" w:cs="仿宋_GB2312"/>
          <w:b/>
          <w:kern w:val="0"/>
          <w:sz w:val="32"/>
          <w:szCs w:val="32"/>
        </w:rPr>
      </w:pPr>
    </w:p>
    <w:p>
      <w:pPr>
        <w:spacing w:line="58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sz w:val="32"/>
          <w:szCs w:val="32"/>
        </w:rPr>
        <w:t>木垒哈萨克自治县商务和经济信息化委员会</w:t>
      </w:r>
      <w:r>
        <w:rPr>
          <w:rFonts w:hint="eastAsia" w:ascii="仿宋_GB2312" w:hAnsi="仿宋_GB2312" w:eastAsia="仿宋_GB2312" w:cs="仿宋_GB2312"/>
          <w:b/>
          <w:kern w:val="0"/>
          <w:sz w:val="32"/>
          <w:szCs w:val="32"/>
        </w:rPr>
        <w:t>概况</w:t>
      </w:r>
    </w:p>
    <w:p>
      <w:pPr>
        <w:spacing w:line="58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一、主要职能、机构设置及人员情况</w:t>
      </w:r>
    </w:p>
    <w:p>
      <w:pPr>
        <w:spacing w:line="58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w:t>
      </w:r>
      <w:r>
        <w:rPr>
          <w:rFonts w:hint="eastAsia" w:ascii="仿宋_GB2312" w:hAnsi="仿宋_GB2312" w:eastAsia="仿宋_GB2312" w:cs="仿宋_GB2312"/>
          <w:sz w:val="32"/>
          <w:szCs w:val="32"/>
        </w:rPr>
        <w:t>部门决算单位构成</w:t>
      </w:r>
    </w:p>
    <w:p>
      <w:pPr>
        <w:spacing w:line="58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sz w:val="32"/>
          <w:szCs w:val="32"/>
        </w:rPr>
        <w:t>木垒哈萨克自治县商务和经济信息化委员会</w:t>
      </w:r>
      <w:r>
        <w:rPr>
          <w:rFonts w:hint="eastAsia" w:ascii="仿宋_GB2312" w:hAnsi="仿宋_GB2312" w:eastAsia="仿宋_GB2312" w:cs="仿宋_GB2312"/>
          <w:b/>
          <w:kern w:val="0"/>
          <w:sz w:val="32"/>
          <w:szCs w:val="32"/>
        </w:rPr>
        <w:t>决算情况说明</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一、部门收支总体情况</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（一）部门收入支出决算总体情况说明</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（二）部门收入总体情况说明</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（三）部门支出总体情况说明</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二、部门财政拨款收支情况</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（一）财政拨款收支总体情况说明</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（二）一般公共预算支出决算情况说明</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（三）政府性基金预算收支决算情况说明</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（四）政府性基金预算支出决算情况说明</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三、部门结转结余情况</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四、一般公共预算“三公”经费支出情况</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五、机关运行经费支出情况</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六、政府采购情况</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七、其他重要事项的情况</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（一）国有资产占用情况说明</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（二）国有资产收益征缴情况说明</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（三）部门项目支出情况和项目绩效评价情况说明</w:t>
      </w:r>
    </w:p>
    <w:p>
      <w:pPr>
        <w:spacing w:line="58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第三部分 专业名词解释</w:t>
      </w:r>
    </w:p>
    <w:p>
      <w:pPr>
        <w:spacing w:line="58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第四部分 </w:t>
      </w:r>
      <w:r>
        <w:rPr>
          <w:rFonts w:hint="eastAsia" w:ascii="仿宋_GB2312" w:hAnsi="仿宋_GB2312" w:eastAsia="仿宋_GB2312" w:cs="仿宋_GB2312"/>
          <w:b/>
          <w:sz w:val="32"/>
          <w:szCs w:val="32"/>
        </w:rPr>
        <w:t>木垒哈萨克自治县商务和经济信息化委员会</w:t>
      </w:r>
      <w:r>
        <w:rPr>
          <w:rFonts w:hint="eastAsia" w:ascii="仿宋_GB2312" w:hAnsi="仿宋_GB2312" w:eastAsia="仿宋_GB2312" w:cs="仿宋_GB2312"/>
          <w:b/>
          <w:kern w:val="0"/>
          <w:sz w:val="32"/>
          <w:szCs w:val="32"/>
        </w:rPr>
        <w:t>决算报表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一、报表封面</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二、部门收支总体情况（11张）：</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《收入支出决算总表》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《收入决算表》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《支出决算表》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《收入支出决算表》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《项目收入支出决算表》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《行政事业类项目收入支出决算表》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《基本建设类项目收入支出决算表》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《支出决算明细表》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《基本支出决算明细表》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《项目支出决算明细表》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《财政专户管理资金收入支出决算表》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三、财政拨款收支情况（9张）：</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《财政拨款收入支出决算总表》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《一般公共预算财政拨款收入支出决算表》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《一般公共预算财政拨款支出决算明细表》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《一般公共预算财政拨款基本支出决算明细表》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《一般公共预算财政拨款项目支出决算明细表》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《政府性基金预算财政拨款收入支出决算表》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《政府性基金预算财政拨款支出决算明细表》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《政府性基金预算财政拨款基本支出决算明细表》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《政府性基金预算财政拨款项目支出决算明细表》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四、单位资产负责情况（1张）：《资产负债简表》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五、部门决算附表（5张）：</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《资产情况表》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《国有资产收益征缴情况表》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《基本数字表》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《机构人员情况表》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《非税收入征缴情况表》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六、填报说明附表（2张）</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《部门决算相关信息统计表》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《政府采购情况表》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七、“三公”经费支出情况(1张)：</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《2017年度一般公共预算“三公”经费支出情况表》</w:t>
      </w:r>
    </w:p>
    <w:p>
      <w:pPr>
        <w:spacing w:line="520" w:lineRule="exact"/>
        <w:jc w:val="center"/>
        <w:rPr>
          <w:rFonts w:ascii="仿宋_GB2312" w:hAnsi="仿宋_GB2312" w:eastAsia="仿宋_GB2312" w:cs="仿宋_GB2312"/>
          <w:sz w:val="32"/>
          <w:szCs w:val="32"/>
        </w:rPr>
      </w:pPr>
    </w:p>
    <w:p>
      <w:pPr>
        <w:spacing w:line="500" w:lineRule="exact"/>
        <w:jc w:val="center"/>
        <w:outlineLvl w:val="0"/>
        <w:rPr>
          <w:rFonts w:ascii="仿宋_GB2312" w:hAnsi="仿宋_GB2312" w:eastAsia="仿宋_GB2312" w:cs="仿宋_GB2312"/>
          <w:sz w:val="32"/>
          <w:szCs w:val="32"/>
        </w:rPr>
      </w:pPr>
    </w:p>
    <w:p>
      <w:pPr>
        <w:spacing w:line="500" w:lineRule="exact"/>
        <w:jc w:val="center"/>
        <w:outlineLvl w:val="0"/>
        <w:rPr>
          <w:rFonts w:ascii="仿宋_GB2312" w:hAnsi="仿宋_GB2312" w:eastAsia="仿宋_GB2312" w:cs="仿宋_GB2312"/>
          <w:sz w:val="32"/>
          <w:szCs w:val="32"/>
        </w:rPr>
      </w:pPr>
    </w:p>
    <w:p>
      <w:pPr>
        <w:spacing w:line="500" w:lineRule="exact"/>
        <w:jc w:val="center"/>
        <w:outlineLvl w:val="0"/>
        <w:rPr>
          <w:rFonts w:ascii="仿宋_GB2312" w:hAnsi="仿宋_GB2312" w:eastAsia="仿宋_GB2312" w:cs="仿宋_GB2312"/>
          <w:sz w:val="32"/>
          <w:szCs w:val="32"/>
        </w:rPr>
      </w:pPr>
    </w:p>
    <w:p>
      <w:pPr>
        <w:spacing w:line="500" w:lineRule="exact"/>
        <w:jc w:val="center"/>
        <w:outlineLvl w:val="0"/>
        <w:rPr>
          <w:rFonts w:ascii="仿宋_GB2312" w:hAnsi="仿宋_GB2312" w:eastAsia="仿宋_GB2312" w:cs="仿宋_GB2312"/>
          <w:sz w:val="32"/>
          <w:szCs w:val="32"/>
        </w:rPr>
      </w:pPr>
    </w:p>
    <w:p>
      <w:pPr>
        <w:spacing w:line="500" w:lineRule="exact"/>
        <w:outlineLvl w:val="0"/>
        <w:rPr>
          <w:rFonts w:ascii="仿宋_GB2312" w:hAnsi="仿宋_GB2312" w:eastAsia="仿宋_GB2312" w:cs="仿宋_GB2312"/>
          <w:b/>
          <w:sz w:val="32"/>
          <w:szCs w:val="32"/>
        </w:rPr>
      </w:pPr>
      <w:r>
        <w:rPr>
          <w:rFonts w:hint="eastAsia" w:ascii="仿宋_GB2312" w:hAnsi="仿宋_GB2312" w:eastAsia="仿宋_GB2312" w:cs="仿宋_GB2312"/>
          <w:b/>
          <w:sz w:val="32"/>
          <w:szCs w:val="32"/>
        </w:rPr>
        <w:t>第一部分 木垒哈萨克自治县商务和经济信息化委员会概况</w:t>
      </w:r>
    </w:p>
    <w:p>
      <w:pPr>
        <w:spacing w:line="5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一、部门（单位）基本情况</w:t>
      </w:r>
    </w:p>
    <w:p>
      <w:pPr>
        <w:spacing w:line="5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（一）主要职能</w:t>
      </w:r>
    </w:p>
    <w:p>
      <w:pPr>
        <w:pStyle w:val="2"/>
        <w:snapToGrid w:val="0"/>
        <w:ind w:firstLine="640" w:firstLineChars="200"/>
        <w:rPr>
          <w:rFonts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1、根据国家、自治区、自治州有关开发的法规和政策，紧紧围绕自治县经济发展战略，从事和管理外引内联、招商引资、涉外活动、项目实施、投资环境治理等各项工作的组织、协调与服务；负责自治县招商引资项目的协调、组织、管理；负责编制自治县产业化招商规划；负责自治县招商引资项目的打造包装、征集筛选、推介发布；负责招商项目库建设；负责落实重大招商项目跟进责任制；负责招商项目的对接洽谈、跟踪服务、推进落实；组织和参与各类商务领域交易会、洽谈会、博览会、展览会和有关招商活动。</w:t>
      </w:r>
    </w:p>
    <w:p>
      <w:pPr>
        <w:pStyle w:val="2"/>
        <w:snapToGrid w:val="0"/>
        <w:ind w:firstLine="640" w:firstLineChars="200"/>
        <w:rPr>
          <w:rFonts w:ascii="仿宋_GB2312" w:hAnsi="仿宋_GB2312" w:eastAsia="仿宋_GB2312" w:cs="仿宋_GB2312"/>
          <w:bCs/>
          <w:color w:val="000000"/>
          <w:sz w:val="32"/>
          <w:szCs w:val="32"/>
        </w:rPr>
      </w:pPr>
      <w:r>
        <w:rPr>
          <w:rFonts w:hint="eastAsia" w:ascii="仿宋_GB2312" w:hAnsi="仿宋_GB2312" w:eastAsia="仿宋_GB2312" w:cs="仿宋_GB2312"/>
          <w:color w:val="000000"/>
          <w:sz w:val="32"/>
          <w:szCs w:val="32"/>
        </w:rPr>
        <w:t>2、贯彻执行国家、自治区、自治州有关内外贸易、国内外经济技术合作和外商投资的政策、法规；研究、拟订、落实自治县对外贸易、吸引国内外投资与合作的政策和规定；制定自治县内外贸易、国内外经济技术合作和外商投资中长期规划、年度计划，并组织实施。</w:t>
      </w:r>
    </w:p>
    <w:p>
      <w:pPr>
        <w:pStyle w:val="2"/>
        <w:snapToGrid w:val="0"/>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贯彻执行国家、自治区、自治州经济和信息化的法律法规和方针政策，提出自治县新型工业化发展战略和建议；制定自治县经济发展的政策措施，并组织实施和监督检查。制定自治县经济发展规划、年度计划并组织实施；贯彻落实国家、自治区、自治州产业政策；制定自治县工业优化布局、结构调整的政策措施并组织实施，组织实施重点产业调整和振兴。</w:t>
      </w:r>
    </w:p>
    <w:p>
      <w:pPr>
        <w:pStyle w:val="2"/>
        <w:snapToGrid w:val="0"/>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4、组织拟订、实施自治县产业规划和措施，并监督检查执行情况；指导产业结构调整，提出重点行业、重点产品的调整方案，联系工商领域社会中介组织，并指导其改革与调整。</w:t>
      </w:r>
    </w:p>
    <w:p>
      <w:pPr>
        <w:pStyle w:val="2"/>
        <w:snapToGrid w:val="0"/>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5、组织实施工业、商贸方面的综合性经济法规和政策，并监督指导自治县工业、商贸系统经济法规的宣传和企业法制工作。</w:t>
      </w:r>
    </w:p>
    <w:p>
      <w:pPr>
        <w:pStyle w:val="2"/>
        <w:snapToGrid w:val="0"/>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6、负责电力等能源工业的行政管理。负责贯彻实施国家和区、州关于电力管理的政策、法律及法规，实施执法监督工作；研究制定自治县电力工作发展规划，并组织实施。</w:t>
      </w:r>
    </w:p>
    <w:p>
      <w:pPr>
        <w:pStyle w:val="2"/>
        <w:snapToGrid w:val="0"/>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7、负责工业系统各行业的行业管理。负责贯彻实施国家和区、州关于冶金、化工、建材、食品、机电、轻工等工业行业政策；研究提出行业发展规划，制定结构调整方案，指导各行业的改革和发展；研究和提出包装行业、广告行业、典当行业、农机制造行业、建筑机械行业的发展规划，实施行政管理。负责燃气用具的生产管理。</w:t>
      </w:r>
    </w:p>
    <w:p>
      <w:pPr>
        <w:pStyle w:val="2"/>
        <w:snapToGrid w:val="0"/>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8、研究和规划自治县竞争性行业投资布局，引导除国家拨款以外的工商企业投资和商业性银行的贷款方向，进行项目的登记备案和监督；负责管理自治县技术改造项目及国家和区、州下达的技术改造项目；指导工商企业利用外资（包括外商直接投资项目）工作，制定工业领域外商投资产业指导目录并进行监督；提出工业、商业企业利用国外贷款的投向，指导企业国际化经营。</w:t>
      </w:r>
    </w:p>
    <w:p>
      <w:pPr>
        <w:pStyle w:val="2"/>
        <w:snapToGrid w:val="0"/>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9、拟订自治县规范市场运行、流通秩序的政策，推动商务领域信用建设，指导商业信用销售，按有关规定对特殊流通行业进行监督管理。负责酒类流通等行业的监督管理及相应的行政复议工作;指导再生资源流通管理工作。</w:t>
      </w:r>
    </w:p>
    <w:p>
      <w:pPr>
        <w:pStyle w:val="2"/>
        <w:snapToGrid w:val="0"/>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10、负责对各种经济成分的企业实行宏观管理和指导；推进现代企业制度的建立；论证、审核股份有限公司，参与审核推荐上市公司；审核自治县企业集团的组建方案；组织开展减轻企业负担、治理三乱（乱罚款、乱集资、乱摊派）工作；指导经济管理干部、工商业管理人员的培训和企业智力引进工作。</w:t>
      </w:r>
    </w:p>
    <w:p>
      <w:pPr>
        <w:pStyle w:val="2"/>
        <w:snapToGrid w:val="0"/>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11、指导企业的管理工作；督促指导企业做好维护社会稳定和社会治安综合治理工作。</w:t>
      </w:r>
    </w:p>
    <w:p>
      <w:pPr>
        <w:pStyle w:val="2"/>
        <w:snapToGrid w:val="0"/>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12、研究自治县企业技术进步计划和政策措施，指导技术创新、技术引进、新产品开发；组织实施名牌战略；组织协调工业环境保护工作。</w:t>
      </w:r>
    </w:p>
    <w:p>
      <w:pPr>
        <w:pStyle w:val="2"/>
        <w:snapToGrid w:val="0"/>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13、负责自治县第三产业发展及工业园区建设领导小组办公室的日常工作。负责推进自治县煤电煤化工产业发展工作；负责自治县园区招商引资、产业发展及相关建设管理工作。</w:t>
      </w:r>
    </w:p>
    <w:p>
      <w:pPr>
        <w:pStyle w:val="2"/>
        <w:snapToGrid w:val="0"/>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14、指导工商领域各专业协会的工作。</w:t>
      </w:r>
    </w:p>
    <w:p>
      <w:pPr>
        <w:spacing w:line="5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15、负责国家、区、州电子信息产业发展专项资金项目的审核、申报、管理工作；协助推进电子信息产品制造业的企业认定和产品认定工作；协助推进软件企业认定和登记工作；推进软件知识产权保护和正版化。推进信息化和工业化融合发展。</w:t>
      </w:r>
    </w:p>
    <w:p>
      <w:pPr>
        <w:spacing w:line="5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16、承办自治县人民政府交办的其他事项。</w:t>
      </w:r>
    </w:p>
    <w:p>
      <w:pPr>
        <w:spacing w:line="5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（二）内设机构</w:t>
      </w:r>
    </w:p>
    <w:p>
      <w:pPr>
        <w:spacing w:line="5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木垒县木垒哈萨克自治县商务和经济信息化委员会设7个机构</w:t>
      </w:r>
    </w:p>
    <w:p>
      <w:pPr>
        <w:spacing w:line="5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1、办公室 2、资源油区股 3、信息产业股 4、综合投资股 5、资源油区股 6、园区产业股 7、招商引资和外资外经股</w:t>
      </w:r>
    </w:p>
    <w:p>
      <w:pPr>
        <w:spacing w:line="5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（三）人员编制</w:t>
      </w:r>
    </w:p>
    <w:p>
      <w:pPr>
        <w:spacing w:line="5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木垒县木垒哈萨克自治县商务和经济信息化委员会机关列行政编制12名，其中部门领导职数4名。县木垒哈萨克自治县商务和经济信息化委员会机关列工勤编制1名。事业9名。</w:t>
      </w:r>
    </w:p>
    <w:p>
      <w:pPr>
        <w:spacing w:line="5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2017年实有20人，领导3人。</w:t>
      </w:r>
    </w:p>
    <w:p>
      <w:pPr>
        <w:spacing w:line="50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二、木垒哈萨克自治县商务和经济信息化委员会决算构成。</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从决算构成看，木垒哈萨克自治县商务和经济信息化委员会决算包括：木垒哈萨克自治县商务和经济信息化委员会本级决算。</w:t>
      </w:r>
    </w:p>
    <w:p>
      <w:pPr>
        <w:spacing w:line="500" w:lineRule="exact"/>
        <w:ind w:firstLine="616" w:firstLineChars="200"/>
        <w:rPr>
          <w:rFonts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纳入</w:t>
      </w:r>
      <w:r>
        <w:rPr>
          <w:rFonts w:hint="eastAsia" w:ascii="仿宋_GB2312" w:hAnsi="仿宋_GB2312" w:eastAsia="仿宋_GB2312" w:cs="仿宋_GB2312"/>
          <w:sz w:val="32"/>
          <w:szCs w:val="32"/>
        </w:rPr>
        <w:t>木垒哈萨克自治县商务和经济信息化委员会</w:t>
      </w:r>
      <w:r>
        <w:rPr>
          <w:rFonts w:hint="eastAsia" w:ascii="仿宋_GB2312" w:hAnsi="仿宋_GB2312" w:eastAsia="仿宋_GB2312" w:cs="仿宋_GB2312"/>
          <w:spacing w:val="-6"/>
          <w:sz w:val="32"/>
          <w:szCs w:val="32"/>
        </w:rPr>
        <w:t>2017年部门决算编制范围的单位名单见下表：</w:t>
      </w:r>
    </w:p>
    <w:p>
      <w:pPr>
        <w:spacing w:line="500" w:lineRule="exact"/>
        <w:ind w:firstLine="616" w:firstLineChars="200"/>
        <w:rPr>
          <w:rFonts w:ascii="仿宋_GB2312" w:hAnsi="仿宋_GB2312" w:eastAsia="仿宋_GB2312" w:cs="仿宋_GB2312"/>
          <w:spacing w:val="-6"/>
          <w:sz w:val="32"/>
          <w:szCs w:val="32"/>
        </w:rPr>
      </w:pPr>
    </w:p>
    <w:tbl>
      <w:tblPr>
        <w:tblStyle w:val="4"/>
        <w:tblW w:w="91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37"/>
        <w:gridCol w:w="3450"/>
        <w:gridCol w:w="2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序号</w:t>
            </w:r>
          </w:p>
        </w:tc>
        <w:tc>
          <w:tcPr>
            <w:tcW w:w="3450" w:type="dxa"/>
            <w:vAlign w:val="center"/>
          </w:tcPr>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单位名称</w:t>
            </w:r>
          </w:p>
        </w:tc>
        <w:tc>
          <w:tcPr>
            <w:tcW w:w="2629" w:type="dxa"/>
            <w:vAlign w:val="center"/>
          </w:tcPr>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spacing w:line="500" w:lineRule="exact"/>
              <w:ind w:firstLine="1280" w:firstLineChars="400"/>
              <w:rPr>
                <w:rFonts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3450" w:type="dxa"/>
            <w:vAlign w:val="center"/>
          </w:tcPr>
          <w:p>
            <w:pPr>
              <w:spacing w:line="500" w:lineRule="exact"/>
              <w:rPr>
                <w:rFonts w:ascii="仿宋_GB2312" w:hAnsi="仿宋_GB2312" w:eastAsia="仿宋_GB2312" w:cs="仿宋_GB2312"/>
                <w:sz w:val="32"/>
                <w:szCs w:val="32"/>
              </w:rPr>
            </w:pPr>
            <w:r>
              <w:rPr>
                <w:rFonts w:hint="eastAsia" w:ascii="仿宋_GB2312" w:hAnsi="仿宋_GB2312" w:eastAsia="仿宋_GB2312" w:cs="仿宋_GB2312"/>
                <w:sz w:val="28"/>
                <w:szCs w:val="28"/>
              </w:rPr>
              <w:t>木垒哈萨克自治县商务和经济信息化委员</w:t>
            </w:r>
            <w:r>
              <w:rPr>
                <w:rFonts w:hint="eastAsia" w:ascii="仿宋_GB2312" w:hAnsi="仿宋_GB2312" w:eastAsia="仿宋_GB2312" w:cs="仿宋_GB2312"/>
                <w:sz w:val="32"/>
                <w:szCs w:val="32"/>
              </w:rPr>
              <w:t>会本级</w:t>
            </w:r>
          </w:p>
        </w:tc>
        <w:tc>
          <w:tcPr>
            <w:tcW w:w="2629" w:type="dxa"/>
            <w:vAlign w:val="center"/>
          </w:tcPr>
          <w:p>
            <w:pPr>
              <w:spacing w:line="500" w:lineRule="exact"/>
              <w:ind w:firstLine="640" w:firstLineChars="200"/>
              <w:rPr>
                <w:rFonts w:ascii="仿宋_GB2312" w:hAnsi="仿宋_GB2312" w:eastAsia="仿宋_GB2312" w:cs="仿宋_GB2312"/>
                <w:sz w:val="32"/>
                <w:szCs w:val="32"/>
              </w:rPr>
            </w:pPr>
          </w:p>
        </w:tc>
      </w:tr>
    </w:tbl>
    <w:p>
      <w:pPr>
        <w:spacing w:line="500" w:lineRule="exact"/>
        <w:ind w:firstLine="643" w:firstLineChars="200"/>
        <w:rPr>
          <w:rFonts w:ascii="仿宋_GB2312" w:hAnsi="仿宋_GB2312" w:eastAsia="仿宋_GB2312" w:cs="仿宋_GB2312"/>
          <w:b/>
          <w:sz w:val="32"/>
          <w:szCs w:val="32"/>
        </w:rPr>
      </w:pPr>
    </w:p>
    <w:p>
      <w:pPr>
        <w:spacing w:line="500" w:lineRule="exact"/>
        <w:jc w:val="center"/>
        <w:outlineLvl w:val="0"/>
        <w:rPr>
          <w:rFonts w:ascii="仿宋_GB2312" w:hAnsi="仿宋_GB2312" w:eastAsia="仿宋_GB2312" w:cs="仿宋_GB2312"/>
          <w:b/>
          <w:sz w:val="32"/>
          <w:szCs w:val="32"/>
        </w:rPr>
      </w:pPr>
      <w:r>
        <w:rPr>
          <w:rFonts w:hint="eastAsia" w:ascii="仿宋_GB2312" w:hAnsi="仿宋_GB2312" w:eastAsia="仿宋_GB2312" w:cs="仿宋_GB2312"/>
          <w:b/>
          <w:sz w:val="32"/>
          <w:szCs w:val="32"/>
        </w:rPr>
        <w:t>第二部分 木垒哈萨克自治县商务和经济信息化委员会决算情况说明</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一、木垒哈萨克自治县商务和经济信息化委员会收支总体情况</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（一）木垒哈萨克自治县商务和经济信息化委员会收入支出决算总体情况说明</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2017年度收入625.20万元,与上年相比，减少583万元，降低48.25%，支出593万元,与上年相比，减少615.20万元，降低50.92%，</w:t>
      </w:r>
      <w:r>
        <w:rPr>
          <w:rFonts w:hint="eastAsia" w:ascii="仿宋_GB2312" w:hAnsi="仿宋_GB2312" w:eastAsia="仿宋_GB2312" w:cs="仿宋_GB2312"/>
          <w:sz w:val="32"/>
          <w:szCs w:val="32"/>
          <w:u w:val="single" w:color="FFFFFF" w:themeColor="background1"/>
        </w:rPr>
        <w:t>结余32.20万元，与上年相比，持平</w:t>
      </w:r>
      <w:r>
        <w:rPr>
          <w:rFonts w:hint="eastAsia" w:ascii="仿宋_GB2312" w:hAnsi="仿宋_GB2312" w:eastAsia="仿宋_GB2312" w:cs="仿宋_GB2312"/>
          <w:sz w:val="32"/>
          <w:szCs w:val="32"/>
          <w:u w:color="FFFFFF" w:themeColor="background1"/>
        </w:rPr>
        <w:t>。增</w:t>
      </w:r>
      <w:r>
        <w:rPr>
          <w:rFonts w:hint="eastAsia" w:ascii="仿宋_GB2312" w:hAnsi="仿宋_GB2312" w:eastAsia="仿宋_GB2312" w:cs="仿宋_GB2312"/>
          <w:sz w:val="32"/>
          <w:szCs w:val="32"/>
        </w:rPr>
        <w:t>减变化主要原因是：人员经费减少和项目支出减少。</w:t>
      </w:r>
    </w:p>
    <w:p>
      <w:pPr>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与预算相比情况：2017年度决算数为625.20万元，2017年预算财政拨款数为347.03万元，增加278.17万元，主要原因为财政返还上级补助收入和人员经费增加。</w:t>
      </w:r>
    </w:p>
    <w:p>
      <w:pPr>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（二）木垒哈萨克自治县商务和经济信息化委员会收入总体情况说明</w:t>
      </w:r>
    </w:p>
    <w:p>
      <w:pPr>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val="single" w:color="auto"/>
        </w:rPr>
        <w:t>本年收入合计625.20万元，其中：财政拨款收入564.87万元，占90%；</w:t>
      </w:r>
      <w:r>
        <w:rPr>
          <w:rFonts w:hint="eastAsia" w:ascii="仿宋_GB2312" w:hAnsi="仿宋_GB2312" w:eastAsia="仿宋_GB2312" w:cs="仿宋_GB2312"/>
          <w:sz w:val="32"/>
          <w:szCs w:val="32"/>
          <w:u w:val="single" w:color="auto"/>
          <w:lang w:eastAsia="zh-CN"/>
        </w:rPr>
        <w:t>上级补助收入</w:t>
      </w:r>
      <w:r>
        <w:rPr>
          <w:rFonts w:hint="eastAsia" w:ascii="仿宋_GB2312" w:hAnsi="仿宋_GB2312" w:eastAsia="仿宋_GB2312" w:cs="仿宋_GB2312"/>
          <w:sz w:val="32"/>
          <w:szCs w:val="32"/>
          <w:u w:val="single" w:color="auto"/>
          <w:lang w:val="en-US" w:eastAsia="zh-CN"/>
        </w:rPr>
        <w:t>0万元占%；</w:t>
      </w:r>
      <w:r>
        <w:rPr>
          <w:rFonts w:hint="eastAsia" w:ascii="仿宋_GB2312" w:eastAsia="仿宋_GB2312"/>
          <w:sz w:val="32"/>
          <w:szCs w:val="32"/>
        </w:rPr>
        <w:t>事业收入</w:t>
      </w:r>
      <w:r>
        <w:rPr>
          <w:rFonts w:hint="eastAsia" w:ascii="仿宋_GB2312" w:eastAsia="仿宋_GB2312"/>
          <w:sz w:val="32"/>
          <w:szCs w:val="32"/>
          <w:lang w:val="en-US" w:eastAsia="zh-CN"/>
        </w:rPr>
        <w:t>0万元，占0%；</w:t>
      </w:r>
      <w:r>
        <w:rPr>
          <w:rFonts w:hint="eastAsia" w:ascii="仿宋_GB2312" w:eastAsia="仿宋_GB2312"/>
          <w:sz w:val="32"/>
          <w:szCs w:val="32"/>
        </w:rPr>
        <w:t>经营收入</w:t>
      </w:r>
      <w:r>
        <w:rPr>
          <w:rFonts w:hint="eastAsia" w:ascii="仿宋_GB2312" w:eastAsia="仿宋_GB2312"/>
          <w:sz w:val="32"/>
          <w:szCs w:val="32"/>
          <w:lang w:val="en-US" w:eastAsia="zh-CN"/>
        </w:rPr>
        <w:t>0万元，占0%；</w:t>
      </w:r>
      <w:r>
        <w:rPr>
          <w:rFonts w:hint="eastAsia" w:ascii="仿宋_GB2312" w:eastAsia="仿宋_GB2312"/>
          <w:sz w:val="32"/>
          <w:szCs w:val="32"/>
        </w:rPr>
        <w:t>附属单位上缴收入</w:t>
      </w:r>
      <w:r>
        <w:rPr>
          <w:rFonts w:hint="eastAsia" w:ascii="仿宋_GB2312" w:eastAsia="仿宋_GB2312"/>
          <w:sz w:val="32"/>
          <w:szCs w:val="32"/>
          <w:lang w:val="en-US" w:eastAsia="zh-CN"/>
        </w:rPr>
        <w:t>0万元，占0%；</w:t>
      </w:r>
      <w:r>
        <w:rPr>
          <w:rFonts w:hint="eastAsia" w:ascii="仿宋_GB2312" w:hAnsi="仿宋_GB2312" w:eastAsia="仿宋_GB2312" w:cs="仿宋_GB2312"/>
          <w:sz w:val="32"/>
          <w:szCs w:val="32"/>
          <w:u w:val="single" w:color="auto"/>
        </w:rPr>
        <w:t>其他收入60.33万元，占10%</w:t>
      </w:r>
      <w:r>
        <w:rPr>
          <w:rFonts w:hint="eastAsia" w:ascii="仿宋_GB2312" w:hAnsi="仿宋_GB2312" w:eastAsia="仿宋_GB2312" w:cs="仿宋_GB2312"/>
          <w:sz w:val="32"/>
          <w:szCs w:val="32"/>
          <w:u w:val="single" w:color="FFFFFF" w:themeColor="background1"/>
        </w:rPr>
        <w:t>。</w:t>
      </w:r>
      <w:r>
        <w:rPr>
          <w:rFonts w:hint="eastAsia" w:ascii="仿宋_GB2312" w:hAnsi="仿宋_GB2312" w:eastAsia="仿宋_GB2312" w:cs="仿宋_GB2312"/>
          <w:sz w:val="32"/>
          <w:szCs w:val="32"/>
          <w:u w:color="FFFFFF" w:themeColor="background1"/>
        </w:rPr>
        <w:t>增减变化的主要原因是：项目资金减少。</w:t>
      </w:r>
    </w:p>
    <w:p>
      <w:pPr>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与预算相比情况：2017年度决算数为625.20万元，2017年预算财政拨款数为347.03万元，增加278.17万元，主要原因为财政返还上级补助收入和人员经费增加。</w:t>
      </w:r>
    </w:p>
    <w:p>
      <w:pPr>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（三）木垒哈萨克自治县商务和经济信息化委员会支出总体情况说明</w:t>
      </w:r>
    </w:p>
    <w:p>
      <w:pPr>
        <w:spacing w:line="500" w:lineRule="exact"/>
        <w:ind w:firstLine="640" w:firstLineChars="200"/>
        <w:rPr>
          <w:rFonts w:ascii="仿宋_GB2312" w:eastAsia="仿宋_GB2312"/>
          <w:sz w:val="32"/>
          <w:szCs w:val="32"/>
        </w:rPr>
      </w:pPr>
      <w:r>
        <w:rPr>
          <w:rFonts w:hint="eastAsia" w:ascii="仿宋_GB2312" w:hAnsi="仿宋_GB2312" w:eastAsia="仿宋_GB2312" w:cs="仿宋_GB2312"/>
          <w:sz w:val="32"/>
          <w:szCs w:val="32"/>
          <w:u w:val="single" w:color="auto"/>
        </w:rPr>
        <w:t>本年支出合计593万元，其中：基本支出408.12万元，占68.82%；项目支出184.88万元，占31.18%；</w:t>
      </w:r>
      <w:r>
        <w:rPr>
          <w:rFonts w:hint="eastAsia" w:ascii="仿宋_GB2312" w:eastAsia="仿宋_GB2312"/>
          <w:sz w:val="32"/>
          <w:szCs w:val="32"/>
          <w:lang w:val="en-US" w:eastAsia="zh-CN"/>
        </w:rPr>
        <w:t>上缴上级支出0万元，占0%；经营支出0万元，占0%；对附属单位补助支出0万元，占0%</w:t>
      </w:r>
      <w:r>
        <w:rPr>
          <w:rFonts w:hint="eastAsia" w:ascii="仿宋_GB2312" w:eastAsia="仿宋_GB2312"/>
          <w:sz w:val="32"/>
          <w:szCs w:val="32"/>
        </w:rPr>
        <w:t>。</w:t>
      </w:r>
      <w:r>
        <w:rPr>
          <w:rFonts w:hint="eastAsia" w:ascii="仿宋_GB2312" w:eastAsia="仿宋_GB2312"/>
          <w:sz w:val="32"/>
          <w:szCs w:val="32"/>
          <w:lang w:eastAsia="zh-CN"/>
        </w:rPr>
        <w:t>增减</w:t>
      </w:r>
      <w:r>
        <w:rPr>
          <w:rFonts w:hint="eastAsia" w:ascii="仿宋_GB2312" w:eastAsia="仿宋_GB2312"/>
          <w:sz w:val="32"/>
          <w:szCs w:val="32"/>
        </w:rPr>
        <w:t>变化</w:t>
      </w:r>
      <w:r>
        <w:rPr>
          <w:rFonts w:hint="eastAsia" w:ascii="仿宋_GB2312" w:eastAsia="仿宋_GB2312"/>
          <w:sz w:val="32"/>
          <w:szCs w:val="32"/>
          <w:lang w:eastAsia="zh-CN"/>
        </w:rPr>
        <w:t>的</w:t>
      </w:r>
      <w:r>
        <w:rPr>
          <w:rFonts w:hint="eastAsia" w:ascii="仿宋_GB2312" w:eastAsia="仿宋_GB2312"/>
          <w:sz w:val="32"/>
          <w:szCs w:val="32"/>
        </w:rPr>
        <w:t>主要原因：</w:t>
      </w:r>
      <w:r>
        <w:rPr>
          <w:rFonts w:ascii="仿宋_GB2312" w:eastAsia="仿宋_GB2312"/>
          <w:sz w:val="32"/>
          <w:szCs w:val="32"/>
        </w:rPr>
        <w:t>2017</w:t>
      </w:r>
      <w:r>
        <w:rPr>
          <w:rFonts w:hint="eastAsia" w:ascii="仿宋_GB2312" w:eastAsia="仿宋_GB2312"/>
          <w:sz w:val="32"/>
          <w:szCs w:val="32"/>
        </w:rPr>
        <w:t>年项目资金减少。</w:t>
      </w:r>
    </w:p>
    <w:p>
      <w:pPr>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与预算相比情况：2017年度决算数为219.88万元，2017年预算财政拨款数为103.71万元，增加116.17万元，主要原因为财政返还上级补助收入和人员经费增加。</w:t>
      </w:r>
    </w:p>
    <w:p>
      <w:pPr>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二、木垒哈萨克自治县商务和经济信息化委员会财政拨款收支情况</w:t>
      </w:r>
    </w:p>
    <w:p>
      <w:pPr>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（一）财政拨款收支总体情况说明</w:t>
      </w:r>
    </w:p>
    <w:p>
      <w:pPr>
        <w:spacing w:line="500" w:lineRule="exact"/>
        <w:ind w:firstLine="640" w:firstLineChars="200"/>
        <w:rPr>
          <w:rFonts w:ascii="仿宋_GB2312" w:hAnsi="仿宋_GB2312" w:eastAsia="仿宋_GB2312" w:cs="仿宋_GB2312"/>
          <w:sz w:val="32"/>
          <w:szCs w:val="32"/>
          <w:u w:val="single" w:color="auto"/>
        </w:rPr>
      </w:pPr>
      <w:r>
        <w:rPr>
          <w:rFonts w:hint="eastAsia" w:ascii="仿宋_GB2312" w:hAnsi="仿宋_GB2312" w:eastAsia="仿宋_GB2312" w:cs="仿宋_GB2312"/>
          <w:sz w:val="32"/>
          <w:szCs w:val="32"/>
          <w:u w:color="FFFFFF" w:themeColor="background1"/>
        </w:rPr>
        <w:t>2017年度财政拨款收入564.87万元，与上年相比，减少583万元，降低48.25%。增减变化的主要原因是：项目资金减少。财政拨款支出593万元，与上年相比，减少615.2万元，降低50.9%。其中：基本支出408.13万元，项目支出184.88万元。增减变化的主要原因是：项目资金减少。</w:t>
      </w:r>
      <w:r>
        <w:rPr>
          <w:rFonts w:hint="eastAsia" w:ascii="仿宋_GB2312" w:hAnsi="仿宋_GB2312" w:eastAsia="仿宋_GB2312" w:cs="仿宋_GB2312"/>
          <w:sz w:val="32"/>
          <w:szCs w:val="32"/>
          <w:u w:val="single" w:color="auto"/>
        </w:rPr>
        <w:t>财政拨款结转结余0万元，上年财政拨款无结余。</w:t>
      </w:r>
      <w:r>
        <w:rPr>
          <w:rFonts w:hint="eastAsia" w:ascii="仿宋_GB2312" w:eastAsia="仿宋_GB2312"/>
          <w:sz w:val="32"/>
          <w:szCs w:val="32"/>
        </w:rPr>
        <w:t>与上年相比，减少</w:t>
      </w:r>
      <w:r>
        <w:rPr>
          <w:rFonts w:hint="eastAsia" w:ascii="仿宋_GB2312" w:eastAsia="仿宋_GB2312"/>
          <w:sz w:val="32"/>
          <w:szCs w:val="32"/>
          <w:lang w:val="en-US" w:eastAsia="zh-CN"/>
        </w:rPr>
        <w:t>0</w:t>
      </w:r>
      <w:r>
        <w:rPr>
          <w:rFonts w:hint="eastAsia" w:ascii="仿宋_GB2312" w:eastAsia="仿宋_GB2312"/>
          <w:sz w:val="32"/>
          <w:szCs w:val="32"/>
        </w:rPr>
        <w:t>万元，降低</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%。增减变化的主要原因是：人员工资和日常公用经费及项目资金均有所减少</w:t>
      </w:r>
      <w:r>
        <w:rPr>
          <w:rFonts w:hint="eastAsia" w:ascii="仿宋_GB2312" w:eastAsia="仿宋_GB2312"/>
          <w:sz w:val="32"/>
          <w:szCs w:val="32"/>
          <w:lang w:eastAsia="zh-CN"/>
        </w:rPr>
        <w:t>。财政拨款结转结余</w:t>
      </w:r>
      <w:r>
        <w:rPr>
          <w:rFonts w:hint="eastAsia" w:ascii="仿宋_GB2312" w:eastAsia="仿宋_GB2312"/>
          <w:sz w:val="32"/>
          <w:szCs w:val="32"/>
          <w:lang w:val="en-US" w:eastAsia="zh-CN"/>
        </w:rPr>
        <w:t>0万元，增加0万元，增长0%。</w:t>
      </w:r>
      <w:r>
        <w:rPr>
          <w:rFonts w:hint="eastAsia" w:ascii="仿宋_GB2312" w:eastAsia="仿宋_GB2312"/>
          <w:sz w:val="32"/>
          <w:szCs w:val="32"/>
          <w:lang w:eastAsia="zh-CN"/>
        </w:rPr>
        <w:t>增减变化</w:t>
      </w:r>
      <w:r>
        <w:rPr>
          <w:rFonts w:hint="eastAsia" w:ascii="仿宋_GB2312" w:eastAsia="仿宋_GB2312"/>
          <w:sz w:val="32"/>
          <w:szCs w:val="32"/>
        </w:rPr>
        <w:t>的主要原因是：</w:t>
      </w:r>
      <w:r>
        <w:rPr>
          <w:rFonts w:hint="eastAsia" w:ascii="仿宋_GB2312" w:eastAsia="仿宋_GB2312"/>
          <w:sz w:val="32"/>
          <w:szCs w:val="32"/>
          <w:lang w:eastAsia="zh-CN"/>
        </w:rPr>
        <w:t>相关年度收支平衡。</w:t>
      </w:r>
    </w:p>
    <w:p>
      <w:pPr>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与预算相比情况：2017年度决算数为625.2万元，2017年预算财政拨款数为347万元，增加278.20万元，主要原因为财政返还上级补助收入和人员经费增加。</w:t>
      </w:r>
    </w:p>
    <w:p>
      <w:pPr>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（二）一般公共预算支出决算情况说明</w:t>
      </w:r>
    </w:p>
    <w:p>
      <w:pPr>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2017年度一般公共预算财政拨款支出564.87万元。与上年相比，减少456.27万元，降低44.68%。增减变化的主要原因是：财政拨公用经费减少。其中：按功能分类科目，</w:t>
      </w:r>
      <w:r>
        <w:rPr>
          <w:rFonts w:hint="eastAsia" w:ascii="仿宋_GB2312" w:hAnsi="仿宋_GB2312" w:eastAsia="仿宋_GB2312" w:cs="仿宋_GB2312"/>
          <w:sz w:val="32"/>
          <w:szCs w:val="32"/>
          <w:u w:val="single" w:color="FFFFFF" w:themeColor="background1"/>
        </w:rPr>
        <w:t>一般公共服务支出323.58万元，商业服务业等支出72.59万元，商业服务业等支出169.88万元，其他支出26.96万元。</w:t>
      </w:r>
      <w:r>
        <w:rPr>
          <w:rFonts w:hint="eastAsia" w:ascii="仿宋_GB2312" w:hAnsi="仿宋_GB2312" w:eastAsia="仿宋_GB2312" w:cs="仿宋_GB2312"/>
          <w:sz w:val="32"/>
          <w:szCs w:val="32"/>
          <w:u w:color="FFFFFF" w:themeColor="background1"/>
        </w:rPr>
        <w:t>按经济分类科目，工资福利支出280.50万元，对个人和家庭的补助89.56万元，商品和服务支出222.94万元。</w:t>
      </w:r>
    </w:p>
    <w:p>
      <w:pPr>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与预算相比情况：2017年度一般公共预算财政拨款支出564.87万元。与上年相比，减少456.27万元，降低44.68%。增减变化的主要原因是：财政拨公用经费减少。</w:t>
      </w:r>
    </w:p>
    <w:p>
      <w:pPr>
        <w:spacing w:line="500" w:lineRule="exact"/>
        <w:ind w:firstLine="640" w:firstLineChars="200"/>
        <w:rPr>
          <w:rFonts w:ascii="仿宋_GB2312" w:eastAsia="仿宋_GB2312"/>
          <w:sz w:val="32"/>
          <w:szCs w:val="32"/>
          <w:u w:color="FFFFFF" w:themeColor="background1"/>
        </w:rPr>
      </w:pPr>
      <w:r>
        <w:rPr>
          <w:rFonts w:hint="eastAsia" w:ascii="仿宋_GB2312" w:eastAsia="仿宋_GB2312"/>
          <w:sz w:val="32"/>
          <w:szCs w:val="32"/>
          <w:u w:color="FFFFFF" w:themeColor="background1"/>
        </w:rPr>
        <w:t>（三）政府性基金预算收支决算情况说明</w:t>
      </w:r>
    </w:p>
    <w:p>
      <w:pPr>
        <w:spacing w:line="500" w:lineRule="exact"/>
        <w:ind w:firstLine="640" w:firstLineChars="200"/>
        <w:rPr>
          <w:rFonts w:ascii="仿宋_GB2312" w:eastAsia="仿宋_GB2312"/>
          <w:sz w:val="32"/>
          <w:szCs w:val="32"/>
          <w:u w:color="FFFFFF" w:themeColor="background1"/>
        </w:rPr>
      </w:pPr>
      <w:r>
        <w:rPr>
          <w:rFonts w:hint="eastAsia" w:ascii="仿宋_GB2312" w:eastAsia="仿宋_GB2312"/>
          <w:sz w:val="32"/>
          <w:szCs w:val="32"/>
          <w:u w:color="FFFFFF" w:themeColor="background1"/>
        </w:rPr>
        <w:t>2017年度政府性基金预算财政拨款收入0万元，与上年相比，增加0万元，增长0%。增减变化的主要原因是：无政府性基金预算财政拨款收入。政府性基金预算财政拨款支出0万元，与上年相比，增加0万元，增长0%。增减变化的主要原因是：无政府性基金预算财政拨款支出。</w:t>
      </w:r>
    </w:p>
    <w:p>
      <w:pPr>
        <w:spacing w:line="500" w:lineRule="exact"/>
        <w:ind w:firstLine="640" w:firstLineChars="200"/>
        <w:rPr>
          <w:rFonts w:ascii="仿宋_GB2312" w:eastAsia="仿宋_GB2312"/>
          <w:sz w:val="32"/>
          <w:szCs w:val="32"/>
          <w:u w:color="FFFFFF" w:themeColor="background1"/>
        </w:rPr>
      </w:pPr>
      <w:r>
        <w:rPr>
          <w:rFonts w:hint="eastAsia" w:ascii="仿宋_GB2312" w:eastAsia="仿宋_GB2312"/>
          <w:sz w:val="32"/>
          <w:szCs w:val="32"/>
          <w:u w:color="FFFFFF" w:themeColor="background1"/>
        </w:rPr>
        <w:t>与预算相比情况：无政府性基金预算财政拨款支出。</w:t>
      </w:r>
    </w:p>
    <w:p>
      <w:pPr>
        <w:spacing w:line="500" w:lineRule="exact"/>
        <w:ind w:firstLine="640" w:firstLineChars="200"/>
        <w:rPr>
          <w:rFonts w:ascii="仿宋_GB2312" w:eastAsia="仿宋_GB2312"/>
          <w:sz w:val="32"/>
          <w:szCs w:val="32"/>
          <w:u w:color="FFFFFF" w:themeColor="background1"/>
        </w:rPr>
      </w:pPr>
      <w:r>
        <w:rPr>
          <w:rFonts w:hint="eastAsia" w:ascii="仿宋_GB2312" w:eastAsia="仿宋_GB2312"/>
          <w:sz w:val="32"/>
          <w:szCs w:val="32"/>
          <w:u w:color="FFFFFF" w:themeColor="background1"/>
        </w:rPr>
        <w:t>（四）政府性基金预算支出决算情况说明</w:t>
      </w:r>
    </w:p>
    <w:p>
      <w:pPr>
        <w:spacing w:line="500" w:lineRule="exact"/>
        <w:ind w:firstLine="640" w:firstLineChars="200"/>
        <w:rPr>
          <w:rFonts w:ascii="仿宋_GB2312" w:eastAsia="仿宋_GB2312"/>
          <w:sz w:val="32"/>
          <w:szCs w:val="32"/>
          <w:u w:color="FFFFFF" w:themeColor="background1"/>
        </w:rPr>
      </w:pPr>
      <w:r>
        <w:rPr>
          <w:rFonts w:hint="eastAsia" w:ascii="仿宋_GB2312" w:eastAsia="仿宋_GB2312"/>
          <w:sz w:val="32"/>
          <w:szCs w:val="32"/>
          <w:u w:color="FFFFFF" w:themeColor="background1"/>
        </w:rPr>
        <w:t>2017年度政府性基金预算支出0万元。与上年相比，增加0万元，增长0%。增减变化的主要原因是：无政府性基金预算支出。其中：按功能分类科目，基本支出0万元，项目支出0万元。按经济分类科目，工资福利支出支出0万元，商品服务支出0万元，个人和家庭的补助支出0万元。</w:t>
      </w:r>
    </w:p>
    <w:p>
      <w:pPr>
        <w:spacing w:line="500" w:lineRule="exact"/>
        <w:ind w:firstLine="640" w:firstLineChars="200"/>
        <w:rPr>
          <w:rFonts w:ascii="仿宋_GB2312" w:eastAsia="仿宋_GB2312"/>
          <w:sz w:val="32"/>
          <w:szCs w:val="32"/>
          <w:u w:color="FFFFFF" w:themeColor="background1"/>
          <w:lang w:val="en-GB"/>
        </w:rPr>
      </w:pPr>
      <w:r>
        <w:rPr>
          <w:rFonts w:hint="eastAsia" w:ascii="仿宋_GB2312" w:eastAsia="仿宋_GB2312"/>
          <w:sz w:val="32"/>
          <w:szCs w:val="32"/>
          <w:u w:color="FFFFFF" w:themeColor="background1"/>
        </w:rPr>
        <w:t>与预算相比情况：无。</w:t>
      </w:r>
    </w:p>
    <w:p>
      <w:pPr>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三、木垒哈萨克自治县商务和经济信息化委员会结转结余情况</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年末结转结余</w:t>
      </w:r>
      <w:r>
        <w:rPr>
          <w:rFonts w:ascii="仿宋_GB2312" w:eastAsia="仿宋_GB2312"/>
          <w:sz w:val="32"/>
          <w:szCs w:val="32"/>
        </w:rPr>
        <w:t>0</w:t>
      </w:r>
      <w:r>
        <w:rPr>
          <w:rFonts w:hint="eastAsia" w:ascii="仿宋_GB2312" w:eastAsia="仿宋_GB2312"/>
          <w:sz w:val="32"/>
          <w:szCs w:val="32"/>
        </w:rPr>
        <w:t>万元。与上年相比，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0万元，增长0%</w:t>
      </w:r>
      <w:r>
        <w:rPr>
          <w:rFonts w:hint="eastAsia" w:ascii="仿宋_GB2312" w:eastAsia="仿宋_GB2312"/>
          <w:sz w:val="32"/>
          <w:szCs w:val="32"/>
        </w:rPr>
        <w:t>。</w:t>
      </w:r>
    </w:p>
    <w:p>
      <w:pPr>
        <w:spacing w:line="500" w:lineRule="exact"/>
        <w:ind w:firstLine="640" w:firstLineChars="200"/>
        <w:rPr>
          <w:rFonts w:ascii="仿宋_GB2312" w:eastAsia="仿宋_GB2312"/>
          <w:sz w:val="32"/>
          <w:szCs w:val="32"/>
          <w:u w:color="FFFFFF" w:themeColor="background1"/>
        </w:rPr>
      </w:pPr>
      <w:r>
        <w:rPr>
          <w:rFonts w:hint="eastAsia" w:ascii="仿宋_GB2312" w:eastAsia="仿宋_GB2312"/>
          <w:sz w:val="32"/>
          <w:szCs w:val="32"/>
          <w:u w:color="FFFFFF" w:themeColor="background1"/>
        </w:rPr>
        <w:t>其中财政拨款结转结余0万元。与上年度相比，增加0万元，增长0%。</w:t>
      </w:r>
    </w:p>
    <w:p>
      <w:pPr>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四、一般公共预算“三公”经费支出情况</w:t>
      </w:r>
    </w:p>
    <w:p>
      <w:pPr>
        <w:spacing w:line="500" w:lineRule="exact"/>
        <w:ind w:firstLine="640" w:firstLineChars="200"/>
        <w:rPr>
          <w:rFonts w:ascii="仿宋_GB2312" w:hAnsi="仿宋_GB2312" w:eastAsia="仿宋_GB2312" w:cs="仿宋_GB2312"/>
          <w:i w:val="0"/>
          <w:iCs w:val="0"/>
          <w:sz w:val="32"/>
          <w:szCs w:val="32"/>
          <w:u w:val="none" w:color="auto"/>
        </w:rPr>
      </w:pPr>
      <w:r>
        <w:rPr>
          <w:rFonts w:hint="eastAsia" w:ascii="仿宋_GB2312" w:hAnsi="仿宋_GB2312" w:eastAsia="仿宋_GB2312" w:cs="仿宋_GB2312"/>
          <w:sz w:val="32"/>
          <w:szCs w:val="32"/>
          <w:u w:color="FFFFFF" w:themeColor="background1"/>
        </w:rPr>
        <w:t>2017年度一般公共预算“三公”经费支出决算9.5万元，比上年减少2.6万元，下降21.48%，其中，</w:t>
      </w:r>
      <w:r>
        <w:rPr>
          <w:rFonts w:hint="eastAsia" w:ascii="仿宋_GB2312" w:eastAsia="仿宋_GB2312"/>
          <w:sz w:val="32"/>
          <w:szCs w:val="32"/>
          <w:lang w:eastAsia="zh-CN"/>
        </w:rPr>
        <w:t>因公出国（境）费支出0万元，占</w:t>
      </w:r>
      <w:r>
        <w:rPr>
          <w:rFonts w:hint="eastAsia" w:ascii="仿宋_GB2312" w:eastAsia="仿宋_GB2312"/>
          <w:sz w:val="32"/>
          <w:szCs w:val="32"/>
          <w:lang w:val="en-US" w:eastAsia="zh-CN"/>
        </w:rPr>
        <w:t>0%，</w:t>
      </w:r>
      <w:r>
        <w:rPr>
          <w:rFonts w:hint="eastAsia" w:ascii="仿宋_GB2312" w:eastAsia="仿宋_GB2312"/>
          <w:sz w:val="32"/>
          <w:szCs w:val="32"/>
          <w:lang w:eastAsia="zh-CN"/>
        </w:rPr>
        <w:t>比上年相比增加</w:t>
      </w:r>
      <w:r>
        <w:rPr>
          <w:rFonts w:hint="eastAsia" w:ascii="仿宋_GB2312" w:eastAsia="仿宋_GB2312"/>
          <w:sz w:val="32"/>
          <w:szCs w:val="32"/>
          <w:lang w:val="en-US" w:eastAsia="zh-CN"/>
        </w:rPr>
        <w:t>0万元，增长0%，增加原因是：无</w:t>
      </w:r>
      <w:r>
        <w:rPr>
          <w:rFonts w:hint="eastAsia" w:ascii="仿宋_GB2312" w:eastAsia="仿宋_GB2312"/>
          <w:sz w:val="32"/>
          <w:szCs w:val="32"/>
          <w:lang w:eastAsia="zh-CN"/>
        </w:rPr>
        <w:t>因公出国（境）费支出；</w:t>
      </w:r>
      <w:r>
        <w:rPr>
          <w:rFonts w:hint="eastAsia" w:ascii="仿宋_GB2312" w:hAnsi="仿宋_GB2312" w:eastAsia="仿宋_GB2312" w:cs="仿宋_GB2312"/>
          <w:sz w:val="32"/>
          <w:szCs w:val="32"/>
          <w:u w:val="none" w:color="auto"/>
        </w:rPr>
        <w:t>公务用车购置及运行维护费支出7.7万元，占82%，比上年减少2.1万元，下降21.42%</w:t>
      </w:r>
      <w:r>
        <w:rPr>
          <w:rFonts w:hint="eastAsia" w:ascii="仿宋_GB2312" w:eastAsia="仿宋_GB2312"/>
          <w:sz w:val="32"/>
          <w:szCs w:val="32"/>
          <w:lang w:val="en-US" w:eastAsia="zh-CN"/>
        </w:rPr>
        <w:t>减少原因是：缩减公务用车开支</w:t>
      </w:r>
      <w:r>
        <w:rPr>
          <w:rFonts w:hint="eastAsia" w:ascii="仿宋_GB2312" w:eastAsia="仿宋_GB2312"/>
          <w:sz w:val="32"/>
          <w:szCs w:val="32"/>
          <w:lang w:eastAsia="zh-CN"/>
        </w:rPr>
        <w:t>;</w:t>
      </w:r>
      <w:r>
        <w:rPr>
          <w:rFonts w:hint="eastAsia" w:ascii="仿宋_GB2312" w:hAnsi="仿宋_GB2312" w:eastAsia="仿宋_GB2312" w:cs="仿宋_GB2312"/>
          <w:i w:val="0"/>
          <w:iCs w:val="0"/>
          <w:sz w:val="32"/>
          <w:szCs w:val="32"/>
          <w:u w:val="none" w:color="auto"/>
        </w:rPr>
        <w:t>公务接待费支出1.77万元，比上年减少0.53万元，下降23.04%</w:t>
      </w:r>
      <w:r>
        <w:rPr>
          <w:rFonts w:hint="eastAsia" w:ascii="仿宋_GB2312" w:eastAsia="仿宋_GB2312"/>
          <w:sz w:val="32"/>
          <w:szCs w:val="32"/>
          <w:lang w:val="en-US" w:eastAsia="zh-CN"/>
        </w:rPr>
        <w:t>减少原因是：压缩公务接待支出</w:t>
      </w:r>
      <w:r>
        <w:rPr>
          <w:rFonts w:hint="eastAsia" w:ascii="仿宋_GB2312" w:hAnsi="仿宋_GB2312" w:eastAsia="仿宋_GB2312" w:cs="仿宋_GB2312"/>
          <w:i w:val="0"/>
          <w:iCs w:val="0"/>
          <w:sz w:val="32"/>
          <w:szCs w:val="32"/>
          <w:u w:val="none" w:color="auto"/>
        </w:rPr>
        <w:t>。具体情况如下</w:t>
      </w:r>
      <w:r>
        <w:rPr>
          <w:rFonts w:hint="eastAsia" w:ascii="仿宋_GB2312" w:hAnsi="仿宋_GB2312" w:eastAsia="仿宋_GB2312" w:cs="仿宋_GB2312"/>
          <w:i w:val="0"/>
          <w:iCs w:val="0"/>
          <w:sz w:val="32"/>
          <w:szCs w:val="32"/>
          <w:u w:val="none" w:color="auto"/>
        </w:rPr>
        <w:t>：</w:t>
      </w:r>
    </w:p>
    <w:p>
      <w:pPr>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val="single" w:color="FFFFFF" w:themeColor="background1"/>
        </w:rPr>
        <w:t>因公出国（境）费支出0万元，</w:t>
      </w:r>
      <w:r>
        <w:rPr>
          <w:rFonts w:hint="eastAsia" w:ascii="仿宋_GB2312" w:hAnsi="仿宋_GB2312" w:eastAsia="仿宋_GB2312" w:cs="仿宋_GB2312"/>
          <w:sz w:val="32"/>
          <w:szCs w:val="32"/>
          <w:u w:color="FFFFFF" w:themeColor="background1"/>
        </w:rPr>
        <w:t>木垒哈萨克自治县商务和经济信息化委员会全年未使用一般公共预算财政拨款安排的出国（境）团组0个，累计0人次。</w:t>
      </w:r>
      <w:bookmarkStart w:id="0" w:name="_GoBack"/>
      <w:bookmarkEnd w:id="0"/>
    </w:p>
    <w:p>
      <w:pPr>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公务用车购置及运行维护费7.7万元,其中，公务用车购置0万元，公务用车运行维护7.7万元。主要用于汽油费，维修费，保险费等。2017年，单位一般公共财政拨款安排的公务用车购置量2辆，保有量为2辆。</w:t>
      </w:r>
    </w:p>
    <w:p>
      <w:pPr>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公务接待费1.77万元。具体是：国内公务接待支出1.77万元，主要是上级单位来检查等。木垒哈萨克自治县商务和经济信息化委员会国内公务接待50批次，60人次。</w:t>
      </w:r>
    </w:p>
    <w:p>
      <w:pPr>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与预算相比情况：2017年度一般公共预算“三公”经费支出决算9.5万元，与预算相比持平。</w:t>
      </w:r>
    </w:p>
    <w:p>
      <w:pPr>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五、机关运行经费支出情况</w:t>
      </w:r>
    </w:p>
    <w:p>
      <w:pPr>
        <w:spacing w:line="500" w:lineRule="exact"/>
        <w:ind w:firstLine="640" w:firstLineChars="200"/>
        <w:rPr>
          <w:rFonts w:ascii="仿宋_GB2312" w:hAnsi="仿宋_GB2312" w:eastAsia="仿宋_GB2312" w:cs="仿宋_GB2312"/>
          <w:sz w:val="32"/>
          <w:szCs w:val="32"/>
          <w:u w:color="FFFFFF" w:themeColor="background1"/>
          <w:lang w:val="en-GB"/>
        </w:rPr>
      </w:pPr>
      <w:r>
        <w:rPr>
          <w:rFonts w:hint="eastAsia" w:ascii="仿宋_GB2312" w:hAnsi="仿宋_GB2312" w:eastAsia="仿宋_GB2312" w:cs="仿宋_GB2312"/>
          <w:sz w:val="32"/>
          <w:szCs w:val="32"/>
          <w:u w:color="FFFFFF" w:themeColor="background1"/>
        </w:rPr>
        <w:t>2017年度木垒哈萨克自治县商务和经济信息化委员会机关运行经费支出20万元，比上年减少3.77万元，下降15.86%，主要原因是公务接待费压缩。</w:t>
      </w:r>
    </w:p>
    <w:p>
      <w:pPr>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六、政府采购情况</w:t>
      </w:r>
    </w:p>
    <w:p>
      <w:pPr>
        <w:spacing w:line="500" w:lineRule="exact"/>
        <w:ind w:firstLine="640" w:firstLineChars="200"/>
        <w:rPr>
          <w:rFonts w:hint="eastAsia" w:ascii="仿宋_GB2312" w:hAnsi="Calibri" w:eastAsia="仿宋_GB2312"/>
          <w:sz w:val="32"/>
          <w:szCs w:val="32"/>
          <w:u w:color="FFFFFF" w:themeColor="background1"/>
          <w:lang w:val="en-GB"/>
        </w:rPr>
      </w:pPr>
      <w:r>
        <w:rPr>
          <w:rFonts w:hint="eastAsia" w:ascii="仿宋_GB2312" w:hAnsi="仿宋_GB2312" w:eastAsia="仿宋_GB2312" w:cs="仿宋_GB2312"/>
          <w:sz w:val="32"/>
          <w:szCs w:val="32"/>
          <w:u w:color="FFFFFF" w:themeColor="background1"/>
        </w:rPr>
        <w:t>2017年木垒哈萨克自治县商务和经济信息化委员会</w:t>
      </w:r>
      <w:r>
        <w:rPr>
          <w:rFonts w:hint="eastAsia" w:ascii="仿宋_GB2312" w:eastAsia="仿宋_GB2312"/>
          <w:sz w:val="32"/>
          <w:szCs w:val="32"/>
          <w:u w:color="FFFFFF" w:themeColor="background1"/>
        </w:rPr>
        <w:t>政府采购计划 10.84万元，其中：政府采购货物支出3.68万元、政府采购工程支出0万元、政府采购服务支出7.16万元；实际采购10.84万元，其中：政府采购货物支出3.68万元、政府采购工程支出0万元、政府采购服务支出7.16万元。</w:t>
      </w:r>
    </w:p>
    <w:p>
      <w:pPr>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七、其他重要事项的情况</w:t>
      </w:r>
    </w:p>
    <w:p>
      <w:pPr>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（一）国有资产占用情况说明</w:t>
      </w:r>
    </w:p>
    <w:p>
      <w:pPr>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截至2017年12月31日，资产总计318.83万元，其中：流动资产135.18万元，固定资产183.65万元，其中：房屋0（平方米），价值0万元，共有车辆2辆，价值43.27万元，其中：一般公务用车2辆；单位价值无50万元以上通用设备、单位无价值100万元以上专用设备，其他固定资产价值46.72万元。</w:t>
      </w:r>
    </w:p>
    <w:p>
      <w:pPr>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（二）国有资产收益征缴情况说明</w:t>
      </w:r>
    </w:p>
    <w:p>
      <w:pPr>
        <w:spacing w:line="500" w:lineRule="exact"/>
        <w:ind w:firstLine="640" w:firstLineChars="200"/>
        <w:rPr>
          <w:rFonts w:ascii="仿宋_GB2312" w:hAnsi="仿宋_GB2312" w:eastAsia="仿宋_GB2312" w:cs="仿宋_GB2312"/>
          <w:sz w:val="32"/>
          <w:szCs w:val="32"/>
          <w:u w:val="single" w:color="FFFFFF" w:themeColor="background1"/>
        </w:rPr>
      </w:pPr>
      <w:r>
        <w:rPr>
          <w:rFonts w:hint="eastAsia" w:ascii="仿宋_GB2312" w:hAnsi="仿宋_GB2312" w:eastAsia="仿宋_GB2312" w:cs="仿宋_GB2312"/>
          <w:sz w:val="32"/>
          <w:szCs w:val="32"/>
          <w:u w:val="single" w:color="FFFFFF" w:themeColor="background1"/>
        </w:rPr>
        <w:t>截至2017年12月31日，木垒哈萨克自治县商务和经济信息化委员会无资产有偿使用收入0万元，资产处置收入0万元，其中：已缴国库0万元，已缴财政专户0万元，应缴未缴0万元，单位留用0万元。</w:t>
      </w:r>
    </w:p>
    <w:p>
      <w:pPr>
        <w:spacing w:line="500" w:lineRule="exact"/>
        <w:ind w:firstLine="640" w:firstLineChars="200"/>
        <w:rPr>
          <w:rFonts w:ascii="仿宋_GB2312" w:hAnsi="仿宋_GB2312" w:eastAsia="仿宋_GB2312" w:cs="仿宋_GB2312"/>
          <w:sz w:val="32"/>
          <w:szCs w:val="32"/>
          <w:u w:val="single" w:color="FFFFFF" w:themeColor="background1"/>
          <w:lang w:val="en-GB"/>
        </w:rPr>
      </w:pPr>
      <w:r>
        <w:rPr>
          <w:rFonts w:hint="eastAsia" w:ascii="仿宋_GB2312" w:hAnsi="仿宋_GB2312" w:eastAsia="仿宋_GB2312" w:cs="仿宋_GB2312"/>
          <w:sz w:val="32"/>
          <w:szCs w:val="32"/>
          <w:u w:val="single" w:color="FFFFFF" w:themeColor="background1"/>
        </w:rPr>
        <w:t>木垒哈萨克自治县商务和经济信息化委员会无资产有偿使用收入。</w:t>
      </w:r>
    </w:p>
    <w:p>
      <w:pPr>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（三）部门项目支出情况和项目绩效评价情况说明</w:t>
      </w:r>
    </w:p>
    <w:p>
      <w:pPr>
        <w:spacing w:line="500" w:lineRule="exact"/>
        <w:jc w:val="center"/>
        <w:outlineLvl w:val="0"/>
        <w:rPr>
          <w:rFonts w:ascii="仿宋_GB2312" w:hAnsi="仿宋_GB2312" w:eastAsia="仿宋_GB2312" w:cs="仿宋_GB2312"/>
          <w:kern w:val="0"/>
          <w:sz w:val="32"/>
          <w:szCs w:val="32"/>
          <w:u w:color="FFFFFF" w:themeColor="background1"/>
        </w:rPr>
      </w:pPr>
      <w:r>
        <w:rPr>
          <w:rFonts w:hint="eastAsia" w:ascii="仿宋_GB2312" w:hAnsi="仿宋_GB2312" w:eastAsia="仿宋_GB2312" w:cs="仿宋_GB2312"/>
          <w:sz w:val="32"/>
          <w:szCs w:val="32"/>
          <w:u w:color="FFFFFF" w:themeColor="background1"/>
        </w:rPr>
        <w:t>2017</w:t>
      </w:r>
      <w:r>
        <w:rPr>
          <w:rFonts w:hint="eastAsia" w:ascii="仿宋_GB2312" w:hAnsi="仿宋_GB2312" w:eastAsia="仿宋_GB2312" w:cs="仿宋_GB2312"/>
          <w:kern w:val="0"/>
          <w:sz w:val="32"/>
          <w:szCs w:val="32"/>
          <w:u w:color="FFFFFF" w:themeColor="background1"/>
        </w:rPr>
        <w:t>年度，木垒哈萨克自治县商务和经济信息化委员会无实行绩效管理的项目</w:t>
      </w:r>
    </w:p>
    <w:p>
      <w:pPr>
        <w:spacing w:line="500" w:lineRule="exact"/>
        <w:jc w:val="center"/>
        <w:outlineLvl w:val="0"/>
        <w:rPr>
          <w:rFonts w:ascii="仿宋_GB2312" w:hAnsi="仿宋_GB2312" w:eastAsia="仿宋_GB2312" w:cs="仿宋_GB2312"/>
          <w:b/>
          <w:sz w:val="32"/>
          <w:szCs w:val="32"/>
          <w:u w:color="FFFFFF" w:themeColor="background1"/>
        </w:rPr>
      </w:pPr>
      <w:r>
        <w:rPr>
          <w:rFonts w:hint="eastAsia" w:ascii="仿宋_GB2312" w:hAnsi="仿宋_GB2312" w:eastAsia="仿宋_GB2312" w:cs="仿宋_GB2312"/>
          <w:b/>
          <w:sz w:val="32"/>
          <w:szCs w:val="32"/>
          <w:u w:color="FFFFFF" w:themeColor="background1"/>
        </w:rPr>
        <w:t>第三部分 专业名词解释</w:t>
      </w:r>
    </w:p>
    <w:p>
      <w:pPr>
        <w:autoSpaceDE w:val="0"/>
        <w:autoSpaceDN w:val="0"/>
        <w:adjustRightInd w:val="0"/>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财政拨款收入：指同级财政当年拨付的资金。</w:t>
      </w:r>
    </w:p>
    <w:p>
      <w:pPr>
        <w:autoSpaceDE w:val="0"/>
        <w:autoSpaceDN w:val="0"/>
        <w:adjustRightInd w:val="0"/>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上级补助收入：指事业单位从主管部门和上级单位取得的非财政补助收入。</w:t>
      </w:r>
    </w:p>
    <w:p>
      <w:pPr>
        <w:autoSpaceDE w:val="0"/>
        <w:autoSpaceDN w:val="0"/>
        <w:adjustRightInd w:val="0"/>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事业收入：指事业单位开展专业业务活动及其辅助活动所取得的收入。</w:t>
      </w:r>
    </w:p>
    <w:p>
      <w:pPr>
        <w:autoSpaceDE w:val="0"/>
        <w:autoSpaceDN w:val="0"/>
        <w:adjustRightInd w:val="0"/>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经营收入：指事业单位在专业业务活动及其辅助活动之外开展非独立核算经营活动取得的收入。</w:t>
      </w:r>
    </w:p>
    <w:p>
      <w:pPr>
        <w:autoSpaceDE w:val="0"/>
        <w:autoSpaceDN w:val="0"/>
        <w:adjustRightInd w:val="0"/>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附属单位上缴收入：指事业单位附属的独立核算单位按有关规定上缴的收入。</w:t>
      </w:r>
    </w:p>
    <w:p>
      <w:pPr>
        <w:autoSpaceDE w:val="0"/>
        <w:autoSpaceDN w:val="0"/>
        <w:adjustRightInd w:val="0"/>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其他收入：指除上述“财政拨款收入”、“事业收入”、“经营收入”、“附属单位上缴收入”等之外取得的收入。</w:t>
      </w:r>
    </w:p>
    <w:p>
      <w:pPr>
        <w:autoSpaceDE w:val="0"/>
        <w:autoSpaceDN w:val="0"/>
        <w:adjustRightInd w:val="0"/>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adjustRightInd w:val="0"/>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结余分配：反映单位当年结余的分配情况。</w:t>
      </w:r>
    </w:p>
    <w:p>
      <w:pPr>
        <w:autoSpaceDE w:val="0"/>
        <w:autoSpaceDN w:val="0"/>
        <w:adjustRightInd w:val="0"/>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基本支出：指为保障机构正常运转、完成日常工作任务而发生的人员支出和公用支出。</w:t>
      </w:r>
    </w:p>
    <w:p>
      <w:pPr>
        <w:autoSpaceDE w:val="0"/>
        <w:autoSpaceDN w:val="0"/>
        <w:adjustRightInd w:val="0"/>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项目支出：指在基本支出之外为完成特定行政任务和事业发展目标所发生的支出。</w:t>
      </w:r>
    </w:p>
    <w:p>
      <w:pPr>
        <w:autoSpaceDE w:val="0"/>
        <w:autoSpaceDN w:val="0"/>
        <w:adjustRightInd w:val="0"/>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经营支出：指事业单位在专业业务活动及其辅助活动之外开展非独立核算经营活动发生的支出。</w:t>
      </w:r>
    </w:p>
    <w:p>
      <w:pPr>
        <w:autoSpaceDE w:val="0"/>
        <w:autoSpaceDN w:val="0"/>
        <w:adjustRightInd w:val="0"/>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对附属单位补助支出：指事业单位发生的用非财政预算资金对附属单位的补助支出。</w:t>
      </w:r>
    </w:p>
    <w:p>
      <w:pPr>
        <w:autoSpaceDE w:val="0"/>
        <w:autoSpaceDN w:val="0"/>
        <w:adjustRightInd w:val="0"/>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本单位支出功能分类2011399  其他商贸事务支出，2080501  归口管理的行政单位离退休，2080505机关事业单位基本养老保险缴费支出，2080801  死亡抚恤，2160299  其他商业流通事务支出，2299901其他支出。</w:t>
      </w:r>
    </w:p>
    <w:p>
      <w:pPr>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第四部分 木垒哈萨克自治县商务和经济信息化委员会决算报表（见附表）</w:t>
      </w:r>
    </w:p>
    <w:p>
      <w:pPr>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一、报表封面</w:t>
      </w:r>
    </w:p>
    <w:p>
      <w:pPr>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二、《收入支出决算总表》</w:t>
      </w:r>
    </w:p>
    <w:p>
      <w:pPr>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三、《收入决算表》</w:t>
      </w:r>
    </w:p>
    <w:p>
      <w:pPr>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四、《支出决算表》</w:t>
      </w:r>
    </w:p>
    <w:p>
      <w:pPr>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五、《收入支出决算表》</w:t>
      </w:r>
    </w:p>
    <w:p>
      <w:pPr>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六、《项目收入支出决算表》</w:t>
      </w:r>
    </w:p>
    <w:p>
      <w:pPr>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七、《行政事业类项目收入支出决算表》</w:t>
      </w:r>
    </w:p>
    <w:p>
      <w:pPr>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八、《基本建设类项目收入支出决算表》</w:t>
      </w:r>
    </w:p>
    <w:p>
      <w:pPr>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九、《支出决算明细表》</w:t>
      </w:r>
    </w:p>
    <w:p>
      <w:pPr>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十、《基本支出决算明细表》</w:t>
      </w:r>
    </w:p>
    <w:p>
      <w:pPr>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十一、《项目支出决算明细表》</w:t>
      </w:r>
    </w:p>
    <w:p>
      <w:pPr>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十二、《财政专户管理资金收入支出决算表》</w:t>
      </w:r>
    </w:p>
    <w:p>
      <w:pPr>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十三、《财政拨款收入支出决算总表》</w:t>
      </w:r>
    </w:p>
    <w:p>
      <w:pPr>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十四、《一般公共预算财政拨款收入支出决算表》</w:t>
      </w:r>
    </w:p>
    <w:p>
      <w:pPr>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十五、《一般公共预算财政拨款支出决算明细表》</w:t>
      </w:r>
    </w:p>
    <w:p>
      <w:pPr>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十六、《一般公共预算财政拨款基本支出决算明细表》</w:t>
      </w:r>
    </w:p>
    <w:p>
      <w:pPr>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十七、《一般公共预算财政拨款项目支出决算明细表》</w:t>
      </w:r>
    </w:p>
    <w:p>
      <w:pPr>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十八、《政府性基金预算财政拨款收入支出决算表》</w:t>
      </w:r>
    </w:p>
    <w:p>
      <w:pPr>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十九、《政府性基金预算财政拨款支出决算明细表》</w:t>
      </w:r>
    </w:p>
    <w:p>
      <w:pPr>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二十、《政府性基金预算财政拨款基本支出决算明细表》</w:t>
      </w:r>
    </w:p>
    <w:p>
      <w:pPr>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二十一、《政府性基金预算财政拨款项目支出决算明细表》</w:t>
      </w:r>
    </w:p>
    <w:p>
      <w:pPr>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二十二、《资产负债简表》</w:t>
      </w:r>
    </w:p>
    <w:p>
      <w:pPr>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二十三、《资产情况表》</w:t>
      </w:r>
    </w:p>
    <w:p>
      <w:pPr>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二十四、《国有资产收益征缴情况表》</w:t>
      </w:r>
    </w:p>
    <w:p>
      <w:pPr>
        <w:spacing w:line="500" w:lineRule="exact"/>
        <w:ind w:firstLine="640" w:firstLineChars="200"/>
        <w:rPr>
          <w:rFonts w:ascii="仿宋_GB2312" w:hAnsi="仿宋_GB2312" w:eastAsia="仿宋_GB2312" w:cs="仿宋_GB2312"/>
          <w:sz w:val="32"/>
          <w:szCs w:val="32"/>
          <w:u w:color="FFFFFF" w:themeColor="background1"/>
        </w:rPr>
      </w:pPr>
      <w:r>
        <w:rPr>
          <w:rFonts w:hint="eastAsia" w:ascii="仿宋_GB2312" w:hAnsi="仿宋_GB2312" w:eastAsia="仿宋_GB2312" w:cs="仿宋_GB2312"/>
          <w:sz w:val="32"/>
          <w:szCs w:val="32"/>
          <w:u w:color="FFFFFF" w:themeColor="background1"/>
        </w:rPr>
        <w:t>二十五、《基本数字表》</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二十六、《机构人员情况表》</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二十七、《非税收入征缴情况表》</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二十八、《部门决算相关信息统计表》</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二十九、《政府采购情况表》</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三十、《2017年度一般公共预算“三公”经费支出情况表》</w:t>
      </w:r>
    </w:p>
    <w:p>
      <w:pPr>
        <w:rPr>
          <w:rFonts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
    <w:altName w:val="Times New Roman"/>
    <w:panose1 w:val="00000000000000000000"/>
    <w:charset w:val="00"/>
    <w:family w:val="roman"/>
    <w:pitch w:val="default"/>
    <w:sig w:usb0="00000000" w:usb1="00000000" w:usb2="00000000"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7D05670A"/>
    <w:rsid w:val="000308C0"/>
    <w:rsid w:val="000376AD"/>
    <w:rsid w:val="000D19D5"/>
    <w:rsid w:val="00101E57"/>
    <w:rsid w:val="00112764"/>
    <w:rsid w:val="00115CE9"/>
    <w:rsid w:val="001465A6"/>
    <w:rsid w:val="001866DA"/>
    <w:rsid w:val="001A1408"/>
    <w:rsid w:val="001D3D20"/>
    <w:rsid w:val="001E21F8"/>
    <w:rsid w:val="001E2B32"/>
    <w:rsid w:val="00201DFC"/>
    <w:rsid w:val="002502C1"/>
    <w:rsid w:val="002538C4"/>
    <w:rsid w:val="002663C5"/>
    <w:rsid w:val="002D18F7"/>
    <w:rsid w:val="00352C55"/>
    <w:rsid w:val="00356251"/>
    <w:rsid w:val="00363057"/>
    <w:rsid w:val="003C012B"/>
    <w:rsid w:val="00411F67"/>
    <w:rsid w:val="00453F7C"/>
    <w:rsid w:val="004E1101"/>
    <w:rsid w:val="00510E89"/>
    <w:rsid w:val="0053533C"/>
    <w:rsid w:val="005405A5"/>
    <w:rsid w:val="005E09EA"/>
    <w:rsid w:val="005E5AF5"/>
    <w:rsid w:val="00652791"/>
    <w:rsid w:val="00670928"/>
    <w:rsid w:val="006A070F"/>
    <w:rsid w:val="007815CE"/>
    <w:rsid w:val="007D3B59"/>
    <w:rsid w:val="007E7654"/>
    <w:rsid w:val="00812202"/>
    <w:rsid w:val="00826CAC"/>
    <w:rsid w:val="00852B47"/>
    <w:rsid w:val="008549A4"/>
    <w:rsid w:val="008E0640"/>
    <w:rsid w:val="009225AD"/>
    <w:rsid w:val="00946B13"/>
    <w:rsid w:val="009A2B9F"/>
    <w:rsid w:val="009C4D1E"/>
    <w:rsid w:val="00A04AE9"/>
    <w:rsid w:val="00A15502"/>
    <w:rsid w:val="00AC494C"/>
    <w:rsid w:val="00B41B08"/>
    <w:rsid w:val="00B848B3"/>
    <w:rsid w:val="00BE26EE"/>
    <w:rsid w:val="00BF1DB0"/>
    <w:rsid w:val="00C434B8"/>
    <w:rsid w:val="00C71C27"/>
    <w:rsid w:val="00C9417C"/>
    <w:rsid w:val="00CC2709"/>
    <w:rsid w:val="00D27D3B"/>
    <w:rsid w:val="00D86756"/>
    <w:rsid w:val="00DB10CC"/>
    <w:rsid w:val="00DC1BE8"/>
    <w:rsid w:val="00E04E57"/>
    <w:rsid w:val="00E6004D"/>
    <w:rsid w:val="00EE082D"/>
    <w:rsid w:val="00F417F0"/>
    <w:rsid w:val="00F70E17"/>
    <w:rsid w:val="00FA41AF"/>
    <w:rsid w:val="00FC6EB3"/>
    <w:rsid w:val="0B9A51EA"/>
    <w:rsid w:val="0B9B479C"/>
    <w:rsid w:val="0C5B5027"/>
    <w:rsid w:val="0F920E49"/>
    <w:rsid w:val="14990E81"/>
    <w:rsid w:val="29AE11A5"/>
    <w:rsid w:val="29EF1C0F"/>
    <w:rsid w:val="2DDA4415"/>
    <w:rsid w:val="36445E69"/>
    <w:rsid w:val="3CAE54EE"/>
    <w:rsid w:val="3DEF301F"/>
    <w:rsid w:val="3FC54AF6"/>
    <w:rsid w:val="45197363"/>
    <w:rsid w:val="452D4DBA"/>
    <w:rsid w:val="4B183C15"/>
    <w:rsid w:val="4E3C0C16"/>
    <w:rsid w:val="52F9451C"/>
    <w:rsid w:val="540235C7"/>
    <w:rsid w:val="559B29B1"/>
    <w:rsid w:val="5D472A1C"/>
    <w:rsid w:val="64B21D28"/>
    <w:rsid w:val="66603C33"/>
    <w:rsid w:val="693E0B8A"/>
    <w:rsid w:val="6D535020"/>
    <w:rsid w:val="7D05670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360" w:lineRule="auto"/>
      <w:jc w:val="left"/>
    </w:pPr>
    <w:rPr>
      <w:rFonts w:ascii="����" w:hAnsi="����" w:cs="宋体"/>
      <w:kern w:val="0"/>
      <w:sz w:val="20"/>
      <w:szCs w:val="20"/>
    </w:rPr>
  </w:style>
  <w:style w:type="paragraph" w:customStyle="1" w:styleId="5">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X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89A510-AE89-4E47-81F3-FF90057553DE}">
  <ds:schemaRefs/>
</ds:datastoreItem>
</file>

<file path=docProps/app.xml><?xml version="1.0" encoding="utf-8"?>
<Properties xmlns="http://schemas.openxmlformats.org/officeDocument/2006/extended-properties" xmlns:vt="http://schemas.openxmlformats.org/officeDocument/2006/docPropsVTypes">
  <Template>0</Template>
  <Company>CHINA</Company>
  <Pages>16</Pages>
  <Words>1122</Words>
  <Characters>6398</Characters>
  <Lines>53</Lines>
  <Paragraphs>15</Paragraphs>
  <TotalTime>1</TotalTime>
  <ScaleCrop>false</ScaleCrop>
  <LinksUpToDate>false</LinksUpToDate>
  <CharactersWithSpaces>7505</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2018-06-29T11:29:00Z</dcterms:created>
  <dc:creator>GXR</dc:creator>
  <cp:lastModifiedBy>Administrator</cp:lastModifiedBy>
  <dcterms:modified xsi:type="dcterms:W3CDTF">2018-12-22T10:02:38Z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