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480" w:lineRule="exact"/>
        <w:jc w:val="center"/>
        <w:textAlignment w:val="auto"/>
        <w:rPr>
          <w:rFonts w:ascii="方正小标宋_GBK" w:eastAsia="方正小标宋_GBK"/>
          <w:sz w:val="44"/>
          <w:szCs w:val="44"/>
        </w:rPr>
      </w:pPr>
      <w:r>
        <w:rPr>
          <w:rFonts w:ascii="方正小标宋_GBK" w:eastAsia="方正小标宋_GBK"/>
          <w:sz w:val="44"/>
          <w:szCs w:val="44"/>
        </w:rPr>
        <w:t>2017</w:t>
      </w:r>
      <w:r>
        <w:rPr>
          <w:rFonts w:hint="eastAsia" w:ascii="方正小标宋_GBK" w:eastAsia="方正小标宋_GBK"/>
          <w:sz w:val="44"/>
          <w:szCs w:val="44"/>
        </w:rPr>
        <w:t>年度木垒县</w:t>
      </w:r>
      <w:r>
        <w:rPr>
          <w:rFonts w:ascii="方正小标宋_GBK" w:eastAsia="方正小标宋_GBK"/>
          <w:sz w:val="44"/>
          <w:szCs w:val="44"/>
        </w:rPr>
        <w:t>规划局</w:t>
      </w:r>
      <w:r>
        <w:rPr>
          <w:rFonts w:hint="eastAsia" w:ascii="方正小标宋_GBK" w:eastAsia="方正小标宋_GBK"/>
          <w:sz w:val="44"/>
          <w:szCs w:val="44"/>
        </w:rPr>
        <w:t>部门决算</w:t>
      </w:r>
    </w:p>
    <w:p>
      <w:pPr>
        <w:keepNext w:val="0"/>
        <w:keepLines w:val="0"/>
        <w:pageBreakBefore w:val="0"/>
        <w:widowControl w:val="0"/>
        <w:kinsoku/>
        <w:wordWrap/>
        <w:overflowPunct/>
        <w:topLinePunct w:val="0"/>
        <w:bidi w:val="0"/>
        <w:snapToGrid/>
        <w:spacing w:line="480" w:lineRule="exact"/>
        <w:jc w:val="center"/>
        <w:textAlignment w:val="auto"/>
        <w:rPr>
          <w:rFonts w:ascii="方正小标宋_GBK" w:eastAsia="方正小标宋_GBK"/>
          <w:sz w:val="44"/>
          <w:szCs w:val="44"/>
        </w:rPr>
      </w:pPr>
      <w:r>
        <w:rPr>
          <w:rFonts w:hint="eastAsia" w:ascii="方正小标宋_GBK" w:eastAsia="方正小标宋_GBK"/>
          <w:sz w:val="44"/>
          <w:szCs w:val="44"/>
        </w:rPr>
        <w:t>公</w:t>
      </w:r>
      <w:r>
        <w:rPr>
          <w:rFonts w:ascii="方正小标宋_GBK" w:eastAsia="方正小标宋_GBK"/>
          <w:sz w:val="44"/>
          <w:szCs w:val="44"/>
        </w:rPr>
        <w:t xml:space="preserve"> </w:t>
      </w:r>
      <w:r>
        <w:rPr>
          <w:rFonts w:hint="eastAsia" w:ascii="方正小标宋_GBK" w:eastAsia="方正小标宋_GBK"/>
          <w:sz w:val="44"/>
          <w:szCs w:val="44"/>
        </w:rPr>
        <w:t>开</w:t>
      </w:r>
      <w:r>
        <w:rPr>
          <w:rFonts w:ascii="方正小标宋_GBK" w:eastAsia="方正小标宋_GBK"/>
          <w:sz w:val="44"/>
          <w:szCs w:val="44"/>
        </w:rPr>
        <w:t xml:space="preserve"> </w:t>
      </w:r>
      <w:r>
        <w:rPr>
          <w:rFonts w:hint="eastAsia" w:ascii="方正小标宋_GBK" w:eastAsia="方正小标宋_GBK"/>
          <w:sz w:val="44"/>
          <w:szCs w:val="44"/>
        </w:rPr>
        <w:t>说</w:t>
      </w:r>
      <w:r>
        <w:rPr>
          <w:rFonts w:ascii="方正小标宋_GBK" w:eastAsia="方正小标宋_GBK"/>
          <w:sz w:val="44"/>
          <w:szCs w:val="44"/>
        </w:rPr>
        <w:t xml:space="preserve"> </w:t>
      </w:r>
      <w:r>
        <w:rPr>
          <w:rFonts w:hint="eastAsia" w:ascii="方正小标宋_GBK" w:eastAsia="方正小标宋_GBK"/>
          <w:sz w:val="44"/>
          <w:szCs w:val="44"/>
        </w:rPr>
        <w:t>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bidi w:val="0"/>
        <w:snapToGrid/>
        <w:spacing w:line="480" w:lineRule="exact"/>
        <w:jc w:val="center"/>
        <w:textAlignment w:val="auto"/>
        <w:rPr>
          <w:rFonts w:ascii="华文中宋" w:eastAsia="华文中宋"/>
          <w:b/>
          <w:kern w:val="0"/>
          <w:sz w:val="32"/>
          <w:szCs w:val="32"/>
        </w:rPr>
      </w:pPr>
      <w:r>
        <w:rPr>
          <w:rFonts w:hint="eastAsia" w:ascii="华文中宋" w:eastAsia="华文中宋"/>
          <w:b/>
          <w:kern w:val="0"/>
          <w:sz w:val="32"/>
          <w:szCs w:val="32"/>
        </w:rPr>
        <w:t>目</w:t>
      </w:r>
      <w:r>
        <w:rPr>
          <w:rFonts w:ascii="华文中宋" w:eastAsia="华文中宋"/>
          <w:b/>
          <w:kern w:val="0"/>
          <w:sz w:val="32"/>
          <w:szCs w:val="32"/>
        </w:rPr>
        <w:t xml:space="preserve">  </w:t>
      </w:r>
      <w:r>
        <w:rPr>
          <w:rFonts w:hint="eastAsia" w:ascii="华文中宋" w:eastAsia="华文中宋"/>
          <w:b/>
          <w:kern w:val="0"/>
          <w:sz w:val="32"/>
          <w:szCs w:val="32"/>
        </w:rPr>
        <w:t>录</w:t>
      </w:r>
    </w:p>
    <w:p>
      <w:pPr>
        <w:keepNext w:val="0"/>
        <w:keepLines w:val="0"/>
        <w:pageBreakBefore w:val="0"/>
        <w:widowControl w:val="0"/>
        <w:kinsoku/>
        <w:wordWrap/>
        <w:overflowPunct/>
        <w:topLinePunct w:val="0"/>
        <w:bidi w:val="0"/>
        <w:snapToGrid/>
        <w:spacing w:line="480" w:lineRule="exact"/>
        <w:ind w:firstLine="643" w:firstLineChars="200"/>
        <w:textAlignment w:val="auto"/>
        <w:rPr>
          <w:rFonts w:ascii="仿宋_GB2312" w:eastAsia="仿宋_GB2312"/>
          <w:b/>
          <w:kern w:val="0"/>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黑体" w:eastAsia="黑体"/>
          <w:kern w:val="0"/>
          <w:sz w:val="32"/>
          <w:szCs w:val="32"/>
        </w:rPr>
      </w:pPr>
      <w:r>
        <w:rPr>
          <w:rFonts w:hint="eastAsia" w:ascii="黑体" w:eastAsia="黑体"/>
          <w:kern w:val="0"/>
          <w:sz w:val="32"/>
          <w:szCs w:val="32"/>
        </w:rPr>
        <w:t>第一部分</w:t>
      </w:r>
      <w:r>
        <w:rPr>
          <w:rFonts w:ascii="黑体" w:eastAsia="黑体"/>
          <w:kern w:val="0"/>
          <w:sz w:val="32"/>
          <w:szCs w:val="32"/>
        </w:rPr>
        <w:t xml:space="preserve"> </w:t>
      </w:r>
      <w:r>
        <w:rPr>
          <w:rFonts w:hint="eastAsia" w:ascii="黑体" w:eastAsia="黑体"/>
          <w:sz w:val="32"/>
          <w:szCs w:val="32"/>
        </w:rPr>
        <w:t>木垒县</w:t>
      </w:r>
      <w:r>
        <w:rPr>
          <w:rFonts w:ascii="黑体" w:eastAsia="黑体"/>
          <w:sz w:val="32"/>
          <w:szCs w:val="32"/>
        </w:rPr>
        <w:t>规划局单位</w:t>
      </w:r>
      <w:r>
        <w:rPr>
          <w:rFonts w:hint="eastAsia" w:ascii="黑体" w:eastAsia="黑体"/>
          <w:kern w:val="0"/>
          <w:sz w:val="32"/>
          <w:szCs w:val="32"/>
        </w:rPr>
        <w:t>概况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kern w:val="0"/>
          <w:sz w:val="32"/>
          <w:szCs w:val="32"/>
        </w:rPr>
      </w:pPr>
      <w:r>
        <w:rPr>
          <w:rFonts w:hint="eastAsia" w:ascii="仿宋_GB2312"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kern w:val="0"/>
          <w:sz w:val="32"/>
          <w:szCs w:val="32"/>
        </w:rPr>
      </w:pPr>
      <w:r>
        <w:rPr>
          <w:rFonts w:hint="eastAsia" w:ascii="仿宋_GB2312"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黑体" w:eastAsia="黑体"/>
          <w:kern w:val="0"/>
          <w:sz w:val="32"/>
          <w:szCs w:val="32"/>
        </w:rPr>
      </w:pPr>
      <w:r>
        <w:rPr>
          <w:rFonts w:hint="eastAsia" w:ascii="黑体" w:eastAsia="黑体"/>
          <w:kern w:val="0"/>
          <w:sz w:val="32"/>
          <w:szCs w:val="32"/>
        </w:rPr>
        <w:t>第二部分</w:t>
      </w:r>
      <w:r>
        <w:rPr>
          <w:rFonts w:ascii="黑体" w:eastAsia="黑体"/>
          <w:kern w:val="0"/>
          <w:sz w:val="32"/>
          <w:szCs w:val="32"/>
        </w:rPr>
        <w:t xml:space="preserve"> 木垒县规划局</w:t>
      </w:r>
      <w:r>
        <w:rPr>
          <w:rFonts w:hint="eastAsia" w:ascii="黑体" w:eastAsia="黑体"/>
          <w:kern w:val="0"/>
          <w:sz w:val="32"/>
          <w:szCs w:val="32"/>
        </w:rPr>
        <w:t>部门决算情况说明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黑体" w:eastAsia="黑体"/>
          <w:kern w:val="0"/>
          <w:sz w:val="32"/>
          <w:szCs w:val="32"/>
        </w:rPr>
      </w:pPr>
      <w:r>
        <w:rPr>
          <w:rFonts w:hint="eastAsia" w:ascii="黑体" w:eastAsia="黑体"/>
          <w:kern w:val="0"/>
          <w:sz w:val="32"/>
          <w:szCs w:val="32"/>
        </w:rPr>
        <w:t>第三部分</w:t>
      </w:r>
      <w:r>
        <w:rPr>
          <w:rFonts w:ascii="黑体" w:eastAsia="黑体"/>
          <w:kern w:val="0"/>
          <w:sz w:val="32"/>
          <w:szCs w:val="32"/>
        </w:rPr>
        <w:t xml:space="preserve"> </w:t>
      </w:r>
      <w:r>
        <w:rPr>
          <w:rFonts w:hint="eastAsia" w:ascii="黑体" w:eastAsia="黑体"/>
          <w:kern w:val="0"/>
          <w:sz w:val="32"/>
          <w:szCs w:val="32"/>
        </w:rPr>
        <w:t>专业名词解释</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黑体" w:eastAsia="黑体"/>
          <w:kern w:val="0"/>
          <w:sz w:val="32"/>
          <w:szCs w:val="32"/>
        </w:rPr>
      </w:pPr>
      <w:r>
        <w:rPr>
          <w:rFonts w:hint="eastAsia" w:ascii="黑体" w:eastAsia="黑体"/>
          <w:kern w:val="0"/>
          <w:sz w:val="32"/>
          <w:szCs w:val="32"/>
        </w:rPr>
        <w:t>第四部分</w:t>
      </w:r>
      <w:r>
        <w:rPr>
          <w:rFonts w:ascii="黑体" w:eastAsia="黑体"/>
          <w:kern w:val="0"/>
          <w:sz w:val="32"/>
          <w:szCs w:val="32"/>
        </w:rPr>
        <w:t xml:space="preserve"> </w:t>
      </w:r>
      <w:r>
        <w:rPr>
          <w:rFonts w:hint="eastAsia" w:ascii="黑体" w:eastAsia="黑体"/>
          <w:kern w:val="0"/>
          <w:sz w:val="32"/>
          <w:szCs w:val="32"/>
        </w:rPr>
        <w:t>部门决算报表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480" w:lineRule="exact"/>
        <w:ind w:firstLine="600" w:firstLineChars="200"/>
        <w:textAlignment w:val="auto"/>
        <w:rPr>
          <w:rFonts w:hint="eastAsia" w:ascii="仿宋_GB2312" w:eastAsia="仿宋_GB2312"/>
          <w:sz w:val="30"/>
          <w:szCs w:val="30"/>
        </w:rPr>
      </w:pPr>
      <w:r>
        <w:rPr>
          <w:rFonts w:hint="eastAsia" w:ascii="仿宋_GB2312" w:eastAsia="仿宋_GB2312"/>
          <w:sz w:val="30"/>
          <w:szCs w:val="30"/>
        </w:rPr>
        <w:t>六、填报说明附表（2张）</w:t>
      </w:r>
    </w:p>
    <w:p>
      <w:pPr>
        <w:keepNext w:val="0"/>
        <w:keepLines w:val="0"/>
        <w:pageBreakBefore w:val="0"/>
        <w:widowControl w:val="0"/>
        <w:kinsoku/>
        <w:wordWrap/>
        <w:overflowPunct/>
        <w:topLinePunct w:val="0"/>
        <w:bidi w:val="0"/>
        <w:snapToGrid/>
        <w:spacing w:line="480" w:lineRule="exact"/>
        <w:ind w:firstLine="600" w:firstLineChars="200"/>
        <w:textAlignment w:val="auto"/>
        <w:rPr>
          <w:rFonts w:hint="eastAsia" w:ascii="仿宋_GB2312" w:eastAsia="仿宋_GB2312"/>
          <w:sz w:val="30"/>
          <w:szCs w:val="30"/>
        </w:rPr>
      </w:pPr>
      <w:r>
        <w:rPr>
          <w:rFonts w:hint="eastAsia" w:ascii="仿宋_GB2312" w:eastAsia="仿宋_GB2312"/>
          <w:sz w:val="30"/>
          <w:szCs w:val="30"/>
        </w:rPr>
        <w:t>《部门决算相关信息统计表》</w:t>
      </w:r>
    </w:p>
    <w:p>
      <w:pPr>
        <w:keepNext w:val="0"/>
        <w:keepLines w:val="0"/>
        <w:pageBreakBefore w:val="0"/>
        <w:widowControl w:val="0"/>
        <w:kinsoku/>
        <w:wordWrap/>
        <w:overflowPunct/>
        <w:topLinePunct w:val="0"/>
        <w:bidi w:val="0"/>
        <w:snapToGrid/>
        <w:spacing w:line="480" w:lineRule="exact"/>
        <w:ind w:firstLine="600" w:firstLineChars="200"/>
        <w:textAlignment w:val="auto"/>
        <w:rPr>
          <w:rFonts w:hint="eastAsia" w:ascii="仿宋_GB2312" w:eastAsia="仿宋_GB2312"/>
          <w:sz w:val="30"/>
          <w:szCs w:val="30"/>
        </w:rPr>
      </w:pPr>
      <w:r>
        <w:rPr>
          <w:rFonts w:hint="eastAsia" w:ascii="仿宋_GB2312" w:eastAsia="仿宋_GB2312"/>
          <w:sz w:val="30"/>
          <w:szCs w:val="30"/>
        </w:rPr>
        <w:t>《政府采购情况表》</w:t>
      </w:r>
    </w:p>
    <w:p>
      <w:pPr>
        <w:keepNext w:val="0"/>
        <w:keepLines w:val="0"/>
        <w:pageBreakBefore w:val="0"/>
        <w:widowControl w:val="0"/>
        <w:kinsoku/>
        <w:wordWrap/>
        <w:overflowPunct/>
        <w:topLinePunct w:val="0"/>
        <w:bidi w:val="0"/>
        <w:snapToGrid/>
        <w:spacing w:line="480" w:lineRule="exact"/>
        <w:ind w:firstLine="600" w:firstLineChars="200"/>
        <w:textAlignment w:val="auto"/>
        <w:rPr>
          <w:rFonts w:hint="eastAsia" w:ascii="仿宋_GB2312" w:eastAsia="仿宋_GB2312"/>
          <w:sz w:val="30"/>
          <w:szCs w:val="30"/>
        </w:rPr>
      </w:pPr>
      <w:r>
        <w:rPr>
          <w:rFonts w:hint="eastAsia" w:ascii="仿宋_GB2312" w:eastAsia="仿宋_GB2312"/>
          <w:sz w:val="30"/>
          <w:szCs w:val="30"/>
        </w:rPr>
        <w:t>七、“三公”经费支出情况(1张)：</w:t>
      </w:r>
    </w:p>
    <w:p>
      <w:pPr>
        <w:keepNext w:val="0"/>
        <w:keepLines w:val="0"/>
        <w:pageBreakBefore w:val="0"/>
        <w:widowControl w:val="0"/>
        <w:kinsoku/>
        <w:wordWrap/>
        <w:overflowPunct/>
        <w:topLinePunct w:val="0"/>
        <w:bidi w:val="0"/>
        <w:snapToGrid/>
        <w:spacing w:line="480" w:lineRule="exact"/>
        <w:ind w:firstLine="600" w:firstLineChars="200"/>
        <w:textAlignment w:val="auto"/>
        <w:rPr>
          <w:rFonts w:hint="eastAsia" w:ascii="仿宋_GB2312" w:eastAsia="仿宋_GB2312"/>
          <w:sz w:val="30"/>
          <w:szCs w:val="30"/>
        </w:rPr>
      </w:pPr>
      <w:r>
        <w:rPr>
          <w:rFonts w:hint="eastAsia" w:ascii="仿宋_GB2312" w:eastAsia="仿宋_GB2312"/>
          <w:sz w:val="30"/>
          <w:szCs w:val="30"/>
        </w:rPr>
        <w:t>《2017年度一般公共预算“三公”经费支出情况表》</w:t>
      </w:r>
    </w:p>
    <w:p>
      <w:pPr>
        <w:keepNext w:val="0"/>
        <w:keepLines w:val="0"/>
        <w:pageBreakBefore w:val="0"/>
        <w:widowControl w:val="0"/>
        <w:kinsoku/>
        <w:wordWrap/>
        <w:overflowPunct/>
        <w:topLinePunct w:val="0"/>
        <w:bidi w:val="0"/>
        <w:snapToGrid/>
        <w:spacing w:line="480" w:lineRule="exact"/>
        <w:ind w:firstLine="480" w:firstLineChars="200"/>
        <w:textAlignment w:val="auto"/>
        <w:rPr>
          <w:rFonts w:hint="eastAsia" w:ascii="仿宋_GB2312" w:eastAsia="仿宋_GB2312"/>
          <w:sz w:val="24"/>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p>
      <w:pPr>
        <w:keepNext w:val="0"/>
        <w:keepLines w:val="0"/>
        <w:pageBreakBefore w:val="0"/>
        <w:widowControl w:val="0"/>
        <w:numPr>
          <w:ilvl w:val="0"/>
          <w:numId w:val="1"/>
        </w:numPr>
        <w:kinsoku/>
        <w:wordWrap/>
        <w:overflowPunct/>
        <w:topLinePunct w:val="0"/>
        <w:bidi w:val="0"/>
        <w:snapToGrid/>
        <w:spacing w:line="480" w:lineRule="exact"/>
        <w:jc w:val="center"/>
        <w:textAlignment w:val="auto"/>
        <w:outlineLvl w:val="0"/>
        <w:rPr>
          <w:rFonts w:hint="eastAsia" w:ascii="黑体" w:eastAsia="黑体"/>
          <w:sz w:val="32"/>
          <w:szCs w:val="32"/>
        </w:rPr>
      </w:pPr>
      <w:r>
        <w:rPr>
          <w:rFonts w:ascii="黑体" w:eastAsia="黑体"/>
          <w:sz w:val="32"/>
          <w:szCs w:val="32"/>
        </w:rPr>
        <w:t>木垒县规划局</w:t>
      </w:r>
      <w:r>
        <w:rPr>
          <w:rFonts w:hint="eastAsia" w:ascii="黑体" w:eastAsia="黑体"/>
          <w:sz w:val="32"/>
          <w:szCs w:val="32"/>
        </w:rPr>
        <w:t>单位概况</w:t>
      </w:r>
    </w:p>
    <w:p>
      <w:pPr>
        <w:keepNext w:val="0"/>
        <w:keepLines w:val="0"/>
        <w:pageBreakBefore w:val="0"/>
        <w:widowControl w:val="0"/>
        <w:kinsoku/>
        <w:wordWrap/>
        <w:overflowPunct/>
        <w:topLinePunct w:val="0"/>
        <w:bidi w:val="0"/>
        <w:snapToGrid/>
        <w:spacing w:line="480" w:lineRule="exact"/>
        <w:jc w:val="both"/>
        <w:textAlignment w:val="auto"/>
        <w:outlineLvl w:val="0"/>
        <w:rPr>
          <w:rFonts w:hint="eastAsia" w:ascii="黑体" w:eastAsia="黑体"/>
          <w:sz w:val="32"/>
          <w:szCs w:val="32"/>
        </w:rPr>
      </w:pPr>
    </w:p>
    <w:p>
      <w:pPr>
        <w:keepNext w:val="0"/>
        <w:keepLines w:val="0"/>
        <w:pageBreakBefore w:val="0"/>
        <w:widowControl w:val="0"/>
        <w:numPr>
          <w:ilvl w:val="0"/>
          <w:numId w:val="2"/>
        </w:numPr>
        <w:kinsoku/>
        <w:wordWrap/>
        <w:overflowPunct/>
        <w:topLinePunct w:val="0"/>
        <w:bidi w:val="0"/>
        <w:snapToGrid/>
        <w:spacing w:line="480" w:lineRule="exact"/>
        <w:textAlignment w:val="auto"/>
        <w:rPr>
          <w:rFonts w:ascii="仿宋_GB2312" w:eastAsia="仿宋_GB2312"/>
          <w:sz w:val="32"/>
          <w:szCs w:val="32"/>
        </w:rPr>
      </w:pPr>
      <w:r>
        <w:rPr>
          <w:rFonts w:hint="eastAsia" w:ascii="仿宋_GB2312" w:eastAsia="仿宋_GB2312"/>
          <w:sz w:val="32"/>
          <w:szCs w:val="32"/>
        </w:rPr>
        <w:t>部门单位基本情况，</w:t>
      </w:r>
    </w:p>
    <w:p>
      <w:pPr>
        <w:pStyle w:val="5"/>
        <w:keepNext w:val="0"/>
        <w:keepLines w:val="0"/>
        <w:pageBreakBefore w:val="0"/>
        <w:widowControl/>
        <w:kinsoku/>
        <w:wordWrap/>
        <w:overflowPunct/>
        <w:topLinePunct w:val="0"/>
        <w:bidi w:val="0"/>
        <w:snapToGrid/>
        <w:spacing w:before="0" w:beforeAutospacing="0" w:after="0" w:afterAutospacing="0" w:line="480" w:lineRule="exact"/>
        <w:ind w:firstLine="450"/>
        <w:textAlignment w:val="auto"/>
        <w:rPr>
          <w:rFonts w:ascii="Times New Roman" w:hAnsi="Times New Roman" w:cs="Times New Roman"/>
          <w:color w:val="000000"/>
          <w:sz w:val="32"/>
          <w:szCs w:val="32"/>
          <w:shd w:val="clear" w:color="auto" w:fill="FFFFFF"/>
          <w:lang w:bidi="ar-SA"/>
        </w:rPr>
      </w:pPr>
      <w:r>
        <w:rPr>
          <w:rFonts w:hint="eastAsia" w:ascii="仿宋" w:eastAsia="仿宋" w:cs="Times New Roman"/>
          <w:b/>
          <w:bCs/>
          <w:color w:val="000000"/>
          <w:sz w:val="32"/>
          <w:szCs w:val="32"/>
          <w:shd w:val="clear" w:color="auto" w:fill="FFFFFF"/>
          <w:lang w:bidi="ar-SA"/>
        </w:rPr>
        <w:t>(一)主要职能</w:t>
      </w:r>
    </w:p>
    <w:p>
      <w:pPr>
        <w:pStyle w:val="5"/>
        <w:keepNext w:val="0"/>
        <w:keepLines w:val="0"/>
        <w:pageBreakBefore w:val="0"/>
        <w:widowControl/>
        <w:kinsoku/>
        <w:wordWrap/>
        <w:overflowPunct/>
        <w:topLinePunct w:val="0"/>
        <w:bidi w:val="0"/>
        <w:snapToGrid/>
        <w:spacing w:before="0" w:beforeAutospacing="0" w:after="0" w:afterAutospacing="0" w:line="480" w:lineRule="exact"/>
        <w:jc w:val="both"/>
        <w:textAlignment w:val="auto"/>
        <w:rPr>
          <w:rFonts w:ascii="Times New Roman" w:hAnsi="Times New Roman" w:cs="Times New Roman"/>
          <w:color w:val="000000"/>
          <w:sz w:val="21"/>
          <w:szCs w:val="21"/>
          <w:shd w:val="clear" w:color="auto" w:fill="FFFFFF"/>
          <w:lang w:bidi="ar-SA"/>
        </w:rPr>
      </w:pPr>
      <w:r>
        <w:rPr>
          <w:rFonts w:hint="eastAsia" w:cs="Times New Roman"/>
          <w:color w:val="000000"/>
          <w:sz w:val="32"/>
          <w:szCs w:val="32"/>
          <w:shd w:val="clear" w:color="auto" w:fill="FFFFFF"/>
          <w:lang w:bidi="ar-SA"/>
        </w:rPr>
        <w:t>  </w:t>
      </w:r>
      <w:r>
        <w:rPr>
          <w:rStyle w:val="8"/>
          <w:rFonts w:hint="eastAsia" w:cs="Times New Roman"/>
          <w:color w:val="000000"/>
          <w:sz w:val="32"/>
          <w:szCs w:val="32"/>
          <w:shd w:val="clear" w:color="auto" w:fill="FFFFFF"/>
          <w:lang w:bidi="ar-SA"/>
        </w:rPr>
        <w:t> </w:t>
      </w:r>
      <w:r>
        <w:rPr>
          <w:rFonts w:hint="eastAsia" w:ascii="仿宋_GB2312" w:eastAsia="仿宋_GB2312" w:cs="Times New Roman"/>
          <w:color w:val="000000"/>
          <w:sz w:val="32"/>
          <w:szCs w:val="32"/>
          <w:shd w:val="clear" w:color="auto" w:fill="FFFFFF"/>
          <w:lang w:bidi="ar-SA"/>
        </w:rPr>
        <w:t>  一、贯彻执行国家、自治区、自治州有关城乡发展及城乡规划的方针、政策和法律、法规；研究拟定地方性实施办法，并组织实施。</w:t>
      </w:r>
    </w:p>
    <w:p>
      <w:pPr>
        <w:pStyle w:val="5"/>
        <w:keepNext w:val="0"/>
        <w:keepLines w:val="0"/>
        <w:pageBreakBefore w:val="0"/>
        <w:widowControl/>
        <w:kinsoku/>
        <w:wordWrap/>
        <w:overflowPunct/>
        <w:topLinePunct w:val="0"/>
        <w:bidi w:val="0"/>
        <w:snapToGrid/>
        <w:spacing w:before="0" w:beforeAutospacing="0" w:after="0" w:afterAutospacing="0" w:line="480" w:lineRule="exact"/>
        <w:jc w:val="both"/>
        <w:textAlignment w:val="auto"/>
        <w:rPr>
          <w:rFonts w:ascii="Times New Roman" w:hAnsi="Times New Roman" w:cs="Times New Roman"/>
          <w:color w:val="000000"/>
          <w:sz w:val="21"/>
          <w:szCs w:val="21"/>
          <w:shd w:val="clear" w:color="auto" w:fill="FFFFFF"/>
          <w:lang w:bidi="ar-SA"/>
        </w:rPr>
      </w:pPr>
      <w:r>
        <w:rPr>
          <w:rFonts w:hint="eastAsia" w:ascii="仿宋_GB2312" w:eastAsia="仿宋_GB2312" w:cs="Times New Roman"/>
          <w:color w:val="000000"/>
          <w:sz w:val="32"/>
          <w:szCs w:val="32"/>
          <w:shd w:val="clear" w:color="auto" w:fill="FFFFFF"/>
          <w:lang w:bidi="ar-SA"/>
        </w:rPr>
        <w:t>   </w:t>
      </w:r>
      <w:r>
        <w:rPr>
          <w:rStyle w:val="8"/>
          <w:rFonts w:hint="eastAsia" w:ascii="仿宋_GB2312" w:eastAsia="仿宋_GB2312" w:cs="Times New Roman"/>
          <w:color w:val="000000"/>
          <w:sz w:val="32"/>
          <w:szCs w:val="32"/>
          <w:shd w:val="clear" w:color="auto" w:fill="FFFFFF"/>
          <w:lang w:bidi="ar-SA"/>
        </w:rPr>
        <w:t xml:space="preserve">   </w:t>
      </w:r>
      <w:r>
        <w:rPr>
          <w:rFonts w:hint="eastAsia" w:ascii="仿宋_GB2312" w:eastAsia="仿宋_GB2312" w:cs="Times New Roman"/>
          <w:color w:val="000000"/>
          <w:sz w:val="32"/>
          <w:szCs w:val="32"/>
          <w:shd w:val="clear" w:color="auto" w:fill="FFFFFF"/>
          <w:lang w:bidi="ar-SA"/>
        </w:rPr>
        <w:t>二、负责组织编制城乡总体规划、分区规划、控制性详细规划、修建性详细规划、村镇规划以及各类专业、专项规划；负责县辖行政区内的村镇规划的编制、审查和报批工作。</w:t>
      </w:r>
    </w:p>
    <w:p>
      <w:pPr>
        <w:pStyle w:val="5"/>
        <w:keepNext w:val="0"/>
        <w:keepLines w:val="0"/>
        <w:pageBreakBefore w:val="0"/>
        <w:widowControl/>
        <w:kinsoku/>
        <w:wordWrap/>
        <w:overflowPunct/>
        <w:topLinePunct w:val="0"/>
        <w:bidi w:val="0"/>
        <w:snapToGrid/>
        <w:spacing w:before="0" w:beforeAutospacing="0" w:after="0" w:afterAutospacing="0" w:line="480" w:lineRule="exact"/>
        <w:jc w:val="both"/>
        <w:textAlignment w:val="auto"/>
        <w:rPr>
          <w:rFonts w:ascii="Times New Roman" w:hAnsi="Times New Roman" w:cs="Times New Roman"/>
          <w:color w:val="000000"/>
          <w:sz w:val="21"/>
          <w:szCs w:val="21"/>
          <w:shd w:val="clear" w:color="auto" w:fill="FFFFFF"/>
          <w:lang w:bidi="ar-SA"/>
        </w:rPr>
      </w:pPr>
      <w:r>
        <w:rPr>
          <w:rFonts w:hint="eastAsia" w:ascii="仿宋_GB2312" w:eastAsia="仿宋_GB2312" w:cs="Times New Roman"/>
          <w:color w:val="000000"/>
          <w:sz w:val="32"/>
          <w:szCs w:val="32"/>
          <w:shd w:val="clear" w:color="auto" w:fill="FFFFFF"/>
          <w:lang w:bidi="ar-SA"/>
        </w:rPr>
        <w:t>   </w:t>
      </w:r>
      <w:r>
        <w:rPr>
          <w:rStyle w:val="8"/>
          <w:rFonts w:hint="eastAsia" w:ascii="仿宋_GB2312" w:eastAsia="仿宋_GB2312" w:cs="Times New Roman"/>
          <w:color w:val="000000"/>
          <w:sz w:val="32"/>
          <w:szCs w:val="32"/>
          <w:shd w:val="clear" w:color="auto" w:fill="FFFFFF"/>
          <w:lang w:bidi="ar-SA"/>
        </w:rPr>
        <w:t xml:space="preserve">   </w:t>
      </w:r>
      <w:r>
        <w:rPr>
          <w:rFonts w:hint="eastAsia" w:ascii="仿宋_GB2312" w:eastAsia="仿宋_GB2312" w:cs="Times New Roman"/>
          <w:color w:val="000000"/>
          <w:sz w:val="32"/>
          <w:szCs w:val="32"/>
          <w:shd w:val="clear" w:color="auto" w:fill="FFFFFF"/>
          <w:lang w:bidi="ar-SA"/>
        </w:rPr>
        <w:t>三、负责权限内建设项目选址意见书的审批，核发建设用地规划许可证和建设工程规划许可证；参与建设工程竣工验收。</w:t>
      </w:r>
    </w:p>
    <w:p>
      <w:pPr>
        <w:pStyle w:val="5"/>
        <w:keepNext w:val="0"/>
        <w:keepLines w:val="0"/>
        <w:pageBreakBefore w:val="0"/>
        <w:widowControl/>
        <w:kinsoku/>
        <w:wordWrap/>
        <w:overflowPunct/>
        <w:topLinePunct w:val="0"/>
        <w:bidi w:val="0"/>
        <w:snapToGrid/>
        <w:spacing w:before="0" w:beforeAutospacing="0" w:after="0" w:afterAutospacing="0" w:line="480" w:lineRule="exact"/>
        <w:jc w:val="both"/>
        <w:textAlignment w:val="auto"/>
        <w:rPr>
          <w:rFonts w:ascii="Times New Roman" w:hAnsi="Times New Roman" w:cs="Times New Roman"/>
          <w:color w:val="000000"/>
          <w:sz w:val="21"/>
          <w:szCs w:val="21"/>
          <w:shd w:val="clear" w:color="auto" w:fill="FFFFFF"/>
          <w:lang w:bidi="ar-SA"/>
        </w:rPr>
      </w:pPr>
      <w:r>
        <w:rPr>
          <w:rFonts w:hint="eastAsia" w:ascii="仿宋_GB2312" w:eastAsia="仿宋_GB2312" w:cs="Times New Roman"/>
          <w:color w:val="000000"/>
          <w:sz w:val="32"/>
          <w:szCs w:val="32"/>
          <w:shd w:val="clear" w:color="auto" w:fill="FFFFFF"/>
          <w:lang w:bidi="ar-SA"/>
        </w:rPr>
        <w:t>   </w:t>
      </w:r>
      <w:r>
        <w:rPr>
          <w:rStyle w:val="8"/>
          <w:rFonts w:hint="eastAsia" w:ascii="仿宋_GB2312" w:eastAsia="仿宋_GB2312" w:cs="Times New Roman"/>
          <w:color w:val="000000"/>
          <w:sz w:val="32"/>
          <w:szCs w:val="32"/>
          <w:shd w:val="clear" w:color="auto" w:fill="FFFFFF"/>
          <w:lang w:bidi="ar-SA"/>
        </w:rPr>
        <w:t xml:space="preserve">   </w:t>
      </w:r>
      <w:r>
        <w:rPr>
          <w:rFonts w:hint="eastAsia" w:ascii="仿宋_GB2312" w:eastAsia="仿宋_GB2312" w:cs="Times New Roman"/>
          <w:color w:val="000000"/>
          <w:sz w:val="32"/>
          <w:szCs w:val="32"/>
          <w:shd w:val="clear" w:color="auto" w:fill="FFFFFF"/>
          <w:lang w:bidi="ar-SA"/>
        </w:rPr>
        <w:t>四、负责城市规划管理地理信息系统建设和规划档案资料的管理，为城市规划、管理提供地理信息数据资料和档案资料。</w:t>
      </w:r>
    </w:p>
    <w:p>
      <w:pPr>
        <w:pStyle w:val="5"/>
        <w:keepNext w:val="0"/>
        <w:keepLines w:val="0"/>
        <w:pageBreakBefore w:val="0"/>
        <w:widowControl/>
        <w:kinsoku/>
        <w:wordWrap/>
        <w:overflowPunct/>
        <w:topLinePunct w:val="0"/>
        <w:bidi w:val="0"/>
        <w:snapToGrid/>
        <w:spacing w:before="0" w:beforeAutospacing="0" w:after="0" w:afterAutospacing="0" w:line="480" w:lineRule="exact"/>
        <w:jc w:val="both"/>
        <w:textAlignment w:val="auto"/>
        <w:rPr>
          <w:rFonts w:ascii="Times New Roman" w:hAnsi="Times New Roman" w:cs="Times New Roman"/>
          <w:color w:val="000000"/>
          <w:sz w:val="21"/>
          <w:szCs w:val="21"/>
          <w:shd w:val="clear" w:color="auto" w:fill="FFFFFF"/>
          <w:lang w:bidi="ar-SA"/>
        </w:rPr>
      </w:pPr>
      <w:r>
        <w:rPr>
          <w:rFonts w:hint="eastAsia" w:ascii="仿宋_GB2312" w:eastAsia="仿宋_GB2312" w:cs="Times New Roman"/>
          <w:color w:val="000000"/>
          <w:sz w:val="32"/>
          <w:szCs w:val="32"/>
          <w:shd w:val="clear" w:color="auto" w:fill="FFFFFF"/>
          <w:lang w:bidi="ar-SA"/>
        </w:rPr>
        <w:t>   </w:t>
      </w:r>
      <w:r>
        <w:rPr>
          <w:rStyle w:val="8"/>
          <w:rFonts w:hint="eastAsia" w:ascii="仿宋_GB2312" w:eastAsia="仿宋_GB2312" w:cs="Times New Roman"/>
          <w:color w:val="000000"/>
          <w:sz w:val="32"/>
          <w:szCs w:val="32"/>
          <w:shd w:val="clear" w:color="auto" w:fill="FFFFFF"/>
          <w:lang w:bidi="ar-SA"/>
        </w:rPr>
        <w:t xml:space="preserve">   </w:t>
      </w:r>
      <w:r>
        <w:rPr>
          <w:rFonts w:hint="eastAsia" w:ascii="仿宋_GB2312" w:eastAsia="仿宋_GB2312" w:cs="Times New Roman"/>
          <w:color w:val="000000"/>
          <w:sz w:val="32"/>
          <w:szCs w:val="32"/>
          <w:shd w:val="clear" w:color="auto" w:fill="FFFFFF"/>
          <w:lang w:bidi="ar-SA"/>
        </w:rPr>
        <w:t>五、负责组织各项规划实施情况的检查；负责各类建设项目的规划监督管理。</w:t>
      </w:r>
    </w:p>
    <w:p>
      <w:pPr>
        <w:pStyle w:val="5"/>
        <w:keepNext w:val="0"/>
        <w:keepLines w:val="0"/>
        <w:pageBreakBefore w:val="0"/>
        <w:widowControl/>
        <w:kinsoku/>
        <w:wordWrap/>
        <w:overflowPunct/>
        <w:topLinePunct w:val="0"/>
        <w:bidi w:val="0"/>
        <w:snapToGrid/>
        <w:spacing w:before="0" w:beforeAutospacing="0" w:after="0" w:afterAutospacing="0" w:line="480" w:lineRule="exact"/>
        <w:ind w:firstLine="640"/>
        <w:jc w:val="both"/>
        <w:textAlignment w:val="auto"/>
        <w:rPr>
          <w:rFonts w:ascii="Times New Roman" w:hAnsi="Times New Roman" w:cs="Times New Roman"/>
          <w:color w:val="000000"/>
          <w:sz w:val="21"/>
          <w:szCs w:val="21"/>
          <w:shd w:val="clear" w:color="auto" w:fill="FFFFFF"/>
          <w:lang w:bidi="ar-SA"/>
        </w:rPr>
      </w:pPr>
      <w:r>
        <w:rPr>
          <w:rFonts w:hint="eastAsia" w:ascii="仿宋_GB2312" w:eastAsia="仿宋_GB2312" w:cs="Times New Roman"/>
          <w:color w:val="000000"/>
          <w:sz w:val="32"/>
          <w:szCs w:val="32"/>
          <w:shd w:val="clear" w:color="auto" w:fill="FFFFFF"/>
          <w:lang w:bidi="ar-SA"/>
        </w:rPr>
        <w:t>六、承办县人民政府交办的其他事项。</w:t>
      </w:r>
    </w:p>
    <w:p>
      <w:pPr>
        <w:pStyle w:val="5"/>
        <w:keepNext w:val="0"/>
        <w:keepLines w:val="0"/>
        <w:pageBreakBefore w:val="0"/>
        <w:widowControl/>
        <w:kinsoku/>
        <w:wordWrap/>
        <w:overflowPunct/>
        <w:topLinePunct w:val="0"/>
        <w:bidi w:val="0"/>
        <w:snapToGrid/>
        <w:spacing w:before="0" w:beforeAutospacing="0" w:after="0" w:afterAutospacing="0" w:line="480" w:lineRule="exact"/>
        <w:ind w:firstLine="640"/>
        <w:jc w:val="both"/>
        <w:textAlignment w:val="auto"/>
        <w:rPr>
          <w:rFonts w:hint="eastAsia" w:ascii="仿宋_GB2312" w:eastAsia="仿宋_GB2312" w:cs="Times New Roman"/>
          <w:color w:val="000000"/>
          <w:sz w:val="32"/>
          <w:szCs w:val="32"/>
          <w:shd w:val="clear" w:color="auto" w:fill="FFFFFF"/>
          <w:lang w:bidi="ar-SA"/>
        </w:rPr>
      </w:pPr>
      <w:r>
        <w:rPr>
          <w:rFonts w:ascii="Times New Roman" w:hAnsi="Times New Roman" w:cs="Times New Roman"/>
          <w:color w:val="000000"/>
          <w:sz w:val="21"/>
          <w:szCs w:val="21"/>
          <w:shd w:val="clear" w:color="auto" w:fill="FFFFFF"/>
          <w:lang w:bidi="ar-SA"/>
        </w:rPr>
        <w:t> </w:t>
      </w:r>
      <w:r>
        <w:rPr>
          <w:rFonts w:hint="eastAsia" w:ascii="仿宋_GB2312" w:eastAsia="仿宋_GB2312"/>
          <w:sz w:val="32"/>
          <w:szCs w:val="32"/>
        </w:rPr>
        <w:t>二、部门决算单位构成</w:t>
      </w:r>
    </w:p>
    <w:p>
      <w:pPr>
        <w:pStyle w:val="5"/>
        <w:keepNext w:val="0"/>
        <w:keepLines w:val="0"/>
        <w:pageBreakBefore w:val="0"/>
        <w:widowControl/>
        <w:kinsoku/>
        <w:wordWrap/>
        <w:overflowPunct/>
        <w:topLinePunct w:val="0"/>
        <w:bidi w:val="0"/>
        <w:snapToGrid/>
        <w:spacing w:before="0" w:beforeAutospacing="0" w:after="0" w:afterAutospacing="0" w:line="480" w:lineRule="exact"/>
        <w:ind w:firstLine="800" w:firstLineChars="250"/>
        <w:jc w:val="both"/>
        <w:textAlignment w:val="auto"/>
        <w:rPr>
          <w:rFonts w:hint="eastAsia" w:ascii="仿宋_GB2312" w:eastAsia="仿宋_GB2312" w:cs="Times New Roman"/>
          <w:color w:val="000000"/>
          <w:sz w:val="32"/>
          <w:szCs w:val="32"/>
          <w:shd w:val="clear" w:color="auto" w:fill="FFFFFF"/>
          <w:lang w:bidi="ar-SA"/>
        </w:rPr>
      </w:pPr>
      <w:r>
        <w:rPr>
          <w:rFonts w:ascii="仿宋_GB2312" w:eastAsia="仿宋_GB2312" w:cs="Times New Roman"/>
          <w:color w:val="000000"/>
          <w:sz w:val="32"/>
          <w:szCs w:val="32"/>
          <w:shd w:val="clear" w:color="auto" w:fill="FFFFFF"/>
          <w:lang w:bidi="ar-SA"/>
        </w:rPr>
        <w:t>规划局下设</w:t>
      </w:r>
      <w:r>
        <w:rPr>
          <w:rFonts w:hint="eastAsia" w:ascii="仿宋_GB2312" w:eastAsia="仿宋_GB2312" w:cs="Times New Roman"/>
          <w:color w:val="000000"/>
          <w:sz w:val="32"/>
          <w:szCs w:val="32"/>
          <w:shd w:val="clear" w:color="auto" w:fill="FFFFFF"/>
          <w:lang w:bidi="ar-SA"/>
        </w:rPr>
        <w:t>办公室</w:t>
      </w:r>
      <w:r>
        <w:rPr>
          <w:rFonts w:ascii="仿宋_GB2312" w:eastAsia="仿宋_GB2312" w:cs="Times New Roman"/>
          <w:color w:val="000000"/>
          <w:sz w:val="32"/>
          <w:szCs w:val="32"/>
          <w:shd w:val="clear" w:color="auto" w:fill="FFFFFF"/>
          <w:lang w:bidi="ar-SA"/>
        </w:rPr>
        <w:t>、</w:t>
      </w:r>
      <w:r>
        <w:rPr>
          <w:rFonts w:hint="eastAsia" w:ascii="仿宋_GB2312" w:eastAsia="仿宋_GB2312" w:cs="Times New Roman"/>
          <w:color w:val="000000"/>
          <w:sz w:val="32"/>
          <w:szCs w:val="32"/>
          <w:shd w:val="clear" w:color="auto" w:fill="FFFFFF"/>
          <w:lang w:bidi="ar-SA"/>
        </w:rPr>
        <w:t>项目规划服务中心、项目工程管理科、城乡规划执法大队。</w:t>
      </w:r>
    </w:p>
    <w:p>
      <w:pPr>
        <w:keepNext w:val="0"/>
        <w:keepLines w:val="0"/>
        <w:pageBreakBefore w:val="0"/>
        <w:widowControl w:val="0"/>
        <w:kinsoku/>
        <w:wordWrap/>
        <w:overflowPunct/>
        <w:topLinePunct w:val="0"/>
        <w:bidi w:val="0"/>
        <w:snapToGrid/>
        <w:spacing w:line="480" w:lineRule="exact"/>
        <w:ind w:left="640" w:firstLine="0"/>
        <w:textAlignment w:val="auto"/>
        <w:rPr>
          <w:rFonts w:ascii="仿宋_GB2312" w:eastAsia="仿宋_GB2312"/>
          <w:sz w:val="32"/>
          <w:szCs w:val="32"/>
        </w:rPr>
      </w:pPr>
      <w:r>
        <w:rPr>
          <w:rFonts w:hint="eastAsia"/>
          <w:shd w:val="clear" w:color="auto" w:fill="FFFFFF"/>
        </w:rPr>
        <w:t>  </w:t>
      </w:r>
      <w:r>
        <w:rPr>
          <w:rStyle w:val="8"/>
          <w:rFonts w:hint="eastAsia" w:ascii="仿宋_GB2312" w:eastAsia="仿宋_GB2312" w:cs="Times New Roman"/>
          <w:color w:val="000000"/>
          <w:sz w:val="32"/>
          <w:szCs w:val="32"/>
          <w:shd w:val="clear" w:color="auto" w:fill="FFFFFF"/>
          <w:lang w:bidi="ar-SA"/>
        </w:rPr>
        <w:t> </w:t>
      </w:r>
      <w:r>
        <w:rPr>
          <w:rStyle w:val="8"/>
          <w:rFonts w:ascii="仿宋_GB2312" w:eastAsia="仿宋_GB2312" w:cs="Times New Roman"/>
          <w:color w:val="000000"/>
          <w:sz w:val="32"/>
          <w:szCs w:val="32"/>
          <w:shd w:val="clear" w:color="auto" w:fill="FFFFFF"/>
          <w:lang w:bidi="ar-SA"/>
        </w:rPr>
        <w:t>2017年末</w:t>
      </w:r>
      <w:r>
        <w:rPr>
          <w:rFonts w:hint="eastAsia" w:ascii="仿宋_GB2312" w:eastAsia="仿宋_GB2312"/>
          <w:sz w:val="32"/>
          <w:szCs w:val="32"/>
          <w:shd w:val="clear" w:color="auto" w:fill="FFFFFF"/>
        </w:rPr>
        <w:t>规划局现有编制</w:t>
      </w:r>
      <w:r>
        <w:rPr>
          <w:rFonts w:ascii="仿宋_GB2312" w:eastAsia="仿宋_GB2312"/>
          <w:sz w:val="32"/>
          <w:szCs w:val="32"/>
          <w:shd w:val="clear" w:color="auto" w:fill="FFFFFF"/>
        </w:rPr>
        <w:t>17</w:t>
      </w:r>
      <w:r>
        <w:rPr>
          <w:rFonts w:hint="eastAsia" w:ascii="仿宋_GB2312" w:eastAsia="仿宋_GB2312"/>
          <w:sz w:val="32"/>
          <w:szCs w:val="32"/>
          <w:shd w:val="clear" w:color="auto" w:fill="FFFFFF"/>
        </w:rPr>
        <w:t>个，</w:t>
      </w:r>
      <w:r>
        <w:rPr>
          <w:rFonts w:ascii="仿宋_GB2312" w:eastAsia="仿宋_GB2312"/>
          <w:sz w:val="32"/>
          <w:szCs w:val="32"/>
          <w:shd w:val="clear" w:color="auto" w:fill="FFFFFF"/>
        </w:rPr>
        <w:t>其中：</w:t>
      </w:r>
      <w:r>
        <w:rPr>
          <w:rFonts w:hint="eastAsia" w:ascii="仿宋_GB2312" w:eastAsia="仿宋_GB2312"/>
          <w:sz w:val="32"/>
          <w:szCs w:val="32"/>
          <w:shd w:val="clear" w:color="auto" w:fill="FFFFFF"/>
        </w:rPr>
        <w:t>在职人员1</w:t>
      </w:r>
      <w:r>
        <w:rPr>
          <w:rFonts w:ascii="仿宋_GB2312" w:eastAsia="仿宋_GB2312"/>
          <w:sz w:val="32"/>
          <w:szCs w:val="32"/>
          <w:shd w:val="clear" w:color="auto" w:fill="FFFFFF"/>
        </w:rPr>
        <w:t>4</w:t>
      </w:r>
      <w:r>
        <w:rPr>
          <w:rFonts w:hint="eastAsia" w:ascii="仿宋_GB2312" w:eastAsia="仿宋_GB2312"/>
          <w:sz w:val="32"/>
          <w:szCs w:val="32"/>
          <w:shd w:val="clear" w:color="auto" w:fill="FFFFFF"/>
        </w:rPr>
        <w:t>人</w:t>
      </w:r>
      <w:r>
        <w:rPr>
          <w:rFonts w:ascii="仿宋_GB2312" w:eastAsia="仿宋_GB2312"/>
          <w:sz w:val="32"/>
          <w:szCs w:val="32"/>
          <w:shd w:val="clear" w:color="auto" w:fill="FFFFFF"/>
        </w:rPr>
        <w:t>（参加公务员管理6人，事业8人）</w:t>
      </w:r>
      <w:r>
        <w:rPr>
          <w:rFonts w:hint="eastAsia" w:ascii="仿宋_GB2312" w:eastAsia="仿宋_GB2312"/>
          <w:sz w:val="32"/>
          <w:szCs w:val="32"/>
          <w:shd w:val="clear" w:color="auto" w:fill="FFFFFF"/>
        </w:rPr>
        <w:t>。</w:t>
      </w:r>
    </w:p>
    <w:p>
      <w:pPr>
        <w:keepNext w:val="0"/>
        <w:keepLines w:val="0"/>
        <w:pageBreakBefore w:val="0"/>
        <w:widowControl w:val="0"/>
        <w:kinsoku/>
        <w:wordWrap/>
        <w:overflowPunct/>
        <w:topLinePunct w:val="0"/>
        <w:bidi w:val="0"/>
        <w:snapToGrid/>
        <w:spacing w:line="480" w:lineRule="exact"/>
        <w:ind w:left="640" w:firstLine="0"/>
        <w:textAlignment w:val="auto"/>
        <w:rPr>
          <w:rFonts w:ascii="仿宋_GB2312" w:eastAsia="仿宋_GB2312"/>
          <w:sz w:val="32"/>
          <w:szCs w:val="32"/>
        </w:rPr>
      </w:pPr>
      <w:r>
        <w:rPr>
          <w:rFonts w:hint="eastAsia" w:ascii="仿宋_GB2312" w:eastAsia="仿宋_GB2312"/>
          <w:sz w:val="32"/>
          <w:szCs w:val="32"/>
        </w:rPr>
        <w:t>二、部门决算单位构成。</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从决算单位构成看，</w:t>
      </w:r>
      <w:r>
        <w:rPr>
          <w:rFonts w:ascii="仿宋_GB2312" w:eastAsia="仿宋_GB2312"/>
          <w:sz w:val="32"/>
          <w:szCs w:val="32"/>
        </w:rPr>
        <w:t>木垒县规划局</w:t>
      </w:r>
      <w:r>
        <w:rPr>
          <w:rFonts w:hint="eastAsia" w:ascii="仿宋_GB2312" w:eastAsia="仿宋_GB2312"/>
          <w:sz w:val="32"/>
          <w:szCs w:val="32"/>
        </w:rPr>
        <w:t>部门决算包括：</w:t>
      </w:r>
      <w:r>
        <w:rPr>
          <w:rFonts w:ascii="仿宋_GB2312" w:eastAsia="仿宋_GB2312"/>
          <w:sz w:val="32"/>
          <w:szCs w:val="32"/>
        </w:rPr>
        <w:t>木垒县规划局</w:t>
      </w:r>
      <w:r>
        <w:rPr>
          <w:rFonts w:hint="eastAsia" w:ascii="仿宋_GB2312" w:eastAsia="仿宋_GB2312"/>
          <w:sz w:val="32"/>
          <w:szCs w:val="32"/>
        </w:rPr>
        <w:t>部门本级决算。</w:t>
      </w:r>
    </w:p>
    <w:p>
      <w:pPr>
        <w:keepNext w:val="0"/>
        <w:keepLines w:val="0"/>
        <w:pageBreakBefore w:val="0"/>
        <w:widowControl w:val="0"/>
        <w:kinsoku/>
        <w:wordWrap/>
        <w:overflowPunct/>
        <w:topLinePunct w:val="0"/>
        <w:bidi w:val="0"/>
        <w:snapToGrid/>
        <w:spacing w:line="480" w:lineRule="exact"/>
        <w:ind w:firstLine="616" w:firstLineChars="200"/>
        <w:textAlignment w:val="auto"/>
        <w:rPr>
          <w:rFonts w:ascii="仿宋_GB2312" w:eastAsia="仿宋_GB2312"/>
          <w:spacing w:val="-6"/>
          <w:sz w:val="32"/>
          <w:szCs w:val="32"/>
        </w:rPr>
      </w:pPr>
      <w:r>
        <w:rPr>
          <w:rFonts w:hint="eastAsia" w:ascii="仿宋_GB2312" w:eastAsia="仿宋_GB2312"/>
          <w:spacing w:val="-6"/>
          <w:sz w:val="32"/>
          <w:szCs w:val="32"/>
        </w:rPr>
        <w:t>纳入</w:t>
      </w:r>
      <w:r>
        <w:rPr>
          <w:rFonts w:ascii="仿宋_GB2312" w:eastAsia="仿宋_GB2312"/>
          <w:spacing w:val="-6"/>
          <w:sz w:val="32"/>
          <w:szCs w:val="32"/>
        </w:rPr>
        <w:t>木垒县规划局2017</w:t>
      </w:r>
      <w:r>
        <w:rPr>
          <w:rFonts w:hint="eastAsia" w:ascii="仿宋_GB2312" w:eastAsia="仿宋_GB2312"/>
          <w:spacing w:val="-6"/>
          <w:sz w:val="32"/>
          <w:szCs w:val="32"/>
        </w:rPr>
        <w:t>年部门决算编制范围的单位名单见下表：</w:t>
      </w:r>
    </w:p>
    <w:tbl>
      <w:tblPr>
        <w:tblStyle w:val="7"/>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480" w:lineRule="exact"/>
              <w:ind w:left="0"/>
              <w:textAlignment w:val="auto"/>
              <w:rPr>
                <w:rFonts w:ascii="仿宋_GB2312" w:eastAsia="仿宋_GB2312"/>
                <w:sz w:val="32"/>
                <w:szCs w:val="32"/>
              </w:rPr>
            </w:pPr>
            <w:r>
              <w:rPr>
                <w:rFonts w:ascii="仿宋_GB2312" w:eastAsia="仿宋_GB2312"/>
                <w:sz w:val="32"/>
                <w:szCs w:val="32"/>
              </w:rPr>
              <w:t>木垒县规划局</w:t>
            </w:r>
            <w:r>
              <w:rPr>
                <w:rFonts w:hint="eastAsia" w:ascii="仿宋_GB2312" w:eastAsia="仿宋_GB2312"/>
                <w:sz w:val="32"/>
                <w:szCs w:val="32"/>
              </w:rPr>
              <w:t>本级</w:t>
            </w:r>
          </w:p>
        </w:tc>
        <w:tc>
          <w:tcPr>
            <w:tcW w:w="2839"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tc>
        <w:tc>
          <w:tcPr>
            <w:tcW w:w="3240"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tc>
        <w:tc>
          <w:tcPr>
            <w:tcW w:w="2839"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tc>
        <w:tc>
          <w:tcPr>
            <w:tcW w:w="3240"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tc>
        <w:tc>
          <w:tcPr>
            <w:tcW w:w="2839" w:type="dxa"/>
            <w:vAlign w:val="center"/>
          </w:tcPr>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p>
        </w:tc>
      </w:tr>
    </w:tbl>
    <w:p>
      <w:pPr>
        <w:keepNext w:val="0"/>
        <w:keepLines w:val="0"/>
        <w:pageBreakBefore w:val="0"/>
        <w:widowControl w:val="0"/>
        <w:kinsoku/>
        <w:wordWrap/>
        <w:overflowPunct/>
        <w:topLinePunct w:val="0"/>
        <w:bidi w:val="0"/>
        <w:snapToGrid/>
        <w:spacing w:line="480" w:lineRule="exact"/>
        <w:ind w:firstLine="643" w:firstLineChars="200"/>
        <w:textAlignment w:val="auto"/>
        <w:rPr>
          <w:rFonts w:ascii="仿宋_GB2312" w:eastAsia="仿宋_GB2312"/>
          <w:b/>
          <w:sz w:val="32"/>
          <w:szCs w:val="32"/>
        </w:rPr>
      </w:pPr>
    </w:p>
    <w:p>
      <w:pPr>
        <w:keepNext w:val="0"/>
        <w:keepLines w:val="0"/>
        <w:pageBreakBefore w:val="0"/>
        <w:widowControl w:val="0"/>
        <w:kinsoku/>
        <w:wordWrap/>
        <w:overflowPunct/>
        <w:topLinePunct w:val="0"/>
        <w:bidi w:val="0"/>
        <w:snapToGrid/>
        <w:spacing w:line="480" w:lineRule="exact"/>
        <w:jc w:val="center"/>
        <w:textAlignment w:val="auto"/>
        <w:outlineLvl w:val="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木垒县规划局</w:t>
      </w:r>
      <w:r>
        <w:rPr>
          <w:rFonts w:hint="eastAsia" w:ascii="黑体" w:eastAsia="黑体"/>
          <w:sz w:val="32"/>
          <w:szCs w:val="32"/>
        </w:rPr>
        <w:t>部门决算情况说明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1094.31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611.11</w:t>
      </w:r>
      <w:r>
        <w:rPr>
          <w:rFonts w:hint="eastAsia" w:ascii="仿宋_GB2312" w:eastAsia="仿宋_GB2312"/>
          <w:sz w:val="32"/>
          <w:szCs w:val="32"/>
        </w:rPr>
        <w:t>万元，增长</w:t>
      </w:r>
      <w:r>
        <w:rPr>
          <w:rFonts w:ascii="仿宋_GB2312" w:eastAsia="仿宋_GB2312"/>
          <w:sz w:val="32"/>
          <w:szCs w:val="32"/>
        </w:rPr>
        <w:t>126.47%</w:t>
      </w:r>
      <w:r>
        <w:rPr>
          <w:rFonts w:hint="eastAsia" w:ascii="仿宋_GB2312" w:eastAsia="仿宋_GB2312"/>
          <w:sz w:val="32"/>
          <w:szCs w:val="32"/>
        </w:rPr>
        <w:t>，支出</w:t>
      </w:r>
      <w:r>
        <w:rPr>
          <w:rFonts w:ascii="仿宋_GB2312" w:eastAsia="仿宋_GB2312"/>
          <w:sz w:val="32"/>
          <w:szCs w:val="32"/>
        </w:rPr>
        <w:t>961.26</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478.06</w:t>
      </w:r>
      <w:r>
        <w:rPr>
          <w:rFonts w:hint="eastAsia" w:ascii="仿宋_GB2312" w:eastAsia="仿宋_GB2312"/>
          <w:sz w:val="32"/>
          <w:szCs w:val="32"/>
        </w:rPr>
        <w:t>万元，增长</w:t>
      </w:r>
      <w:r>
        <w:rPr>
          <w:rFonts w:ascii="仿宋_GB2312" w:eastAsia="仿宋_GB2312"/>
          <w:sz w:val="32"/>
          <w:szCs w:val="32"/>
        </w:rPr>
        <w:t>98.9%</w:t>
      </w:r>
      <w:r>
        <w:rPr>
          <w:rFonts w:hint="eastAsia" w:ascii="仿宋_GB2312" w:eastAsia="仿宋_GB2312"/>
          <w:sz w:val="32"/>
          <w:szCs w:val="32"/>
        </w:rPr>
        <w:t>，结余</w:t>
      </w:r>
      <w:r>
        <w:rPr>
          <w:rFonts w:ascii="仿宋_GB2312" w:eastAsia="仿宋_GB2312"/>
          <w:sz w:val="32"/>
          <w:szCs w:val="32"/>
        </w:rPr>
        <w:t>133.05</w:t>
      </w:r>
      <w:r>
        <w:rPr>
          <w:rFonts w:hint="eastAsia" w:ascii="仿宋_GB2312" w:eastAsia="仿宋_GB2312"/>
          <w:sz w:val="32"/>
          <w:szCs w:val="32"/>
        </w:rPr>
        <w:t>万元，与上年相比，增加</w:t>
      </w:r>
      <w:r>
        <w:rPr>
          <w:rFonts w:ascii="仿宋_GB2312" w:eastAsia="仿宋_GB2312"/>
          <w:sz w:val="32"/>
          <w:szCs w:val="32"/>
        </w:rPr>
        <w:t>133.05</w:t>
      </w:r>
      <w:r>
        <w:rPr>
          <w:rFonts w:hint="eastAsia" w:ascii="仿宋_GB2312" w:eastAsia="仿宋_GB2312"/>
          <w:sz w:val="32"/>
          <w:szCs w:val="32"/>
        </w:rPr>
        <w:t>万元，增长</w:t>
      </w:r>
      <w:r>
        <w:rPr>
          <w:rFonts w:ascii="仿宋_GB2312" w:eastAsia="仿宋_GB2312"/>
          <w:sz w:val="32"/>
          <w:szCs w:val="32"/>
        </w:rPr>
        <w:t>100%</w:t>
      </w:r>
      <w:r>
        <w:rPr>
          <w:rFonts w:hint="eastAsia" w:ascii="仿宋_GB2312" w:eastAsia="仿宋_GB2312"/>
          <w:sz w:val="32"/>
          <w:szCs w:val="32"/>
        </w:rPr>
        <w:t>。增</w:t>
      </w:r>
      <w:r>
        <w:rPr>
          <w:rFonts w:ascii="仿宋_GB2312" w:eastAsia="仿宋_GB2312"/>
          <w:sz w:val="32"/>
          <w:szCs w:val="32"/>
        </w:rPr>
        <w:t>加的</w:t>
      </w:r>
      <w:r>
        <w:rPr>
          <w:rFonts w:hint="eastAsia" w:ascii="仿宋_GB2312" w:eastAsia="仿宋_GB2312"/>
          <w:sz w:val="32"/>
          <w:szCs w:val="32"/>
        </w:rPr>
        <w:t>主要原因是</w:t>
      </w:r>
      <w:r>
        <w:rPr>
          <w:rFonts w:ascii="仿宋_GB2312" w:eastAsia="仿宋_GB2312"/>
          <w:sz w:val="32"/>
          <w:szCs w:val="32"/>
        </w:rPr>
        <w:t>：</w:t>
      </w:r>
      <w:r>
        <w:rPr>
          <w:rFonts w:hint="eastAsia" w:ascii="仿宋_GB2312" w:eastAsia="仿宋_GB2312"/>
          <w:sz w:val="32"/>
          <w:szCs w:val="32"/>
        </w:rPr>
        <w:t>上年报表没有</w:t>
      </w:r>
      <w:r>
        <w:rPr>
          <w:rFonts w:ascii="仿宋_GB2312" w:eastAsia="仿宋_GB2312"/>
          <w:sz w:val="32"/>
          <w:szCs w:val="32"/>
        </w:rPr>
        <w:t>反映</w:t>
      </w:r>
      <w:r>
        <w:rPr>
          <w:rFonts w:hint="eastAsia" w:ascii="仿宋_GB2312" w:eastAsia="仿宋_GB2312"/>
          <w:sz w:val="32"/>
          <w:szCs w:val="32"/>
        </w:rPr>
        <w:t>单位其他资金结余。</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val="en-US" w:eastAsia="zh-CN"/>
        </w:rPr>
        <w:t>2017年决算数</w:t>
      </w:r>
      <w:r>
        <w:rPr>
          <w:rFonts w:ascii="仿宋_GB2312" w:eastAsia="仿宋_GB2312"/>
          <w:sz w:val="32"/>
          <w:szCs w:val="32"/>
        </w:rPr>
        <w:t>1094.31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lang w:eastAsia="zh-CN"/>
        </w:rPr>
        <w:t>年初预算数</w:t>
      </w:r>
      <w:r>
        <w:rPr>
          <w:rFonts w:hint="eastAsia" w:ascii="仿宋_GB2312" w:eastAsia="仿宋_GB2312"/>
          <w:sz w:val="32"/>
          <w:szCs w:val="32"/>
        </w:rPr>
        <w:t>170.64</w:t>
      </w:r>
      <w:r>
        <w:rPr>
          <w:rFonts w:hint="eastAsia" w:ascii="仿宋_GB2312" w:eastAsia="仿宋_GB2312"/>
          <w:sz w:val="32"/>
          <w:szCs w:val="32"/>
          <w:lang w:eastAsia="zh-CN"/>
        </w:rPr>
        <w:t>万元，增加</w:t>
      </w:r>
      <w:r>
        <w:rPr>
          <w:rFonts w:hint="eastAsia" w:ascii="仿宋_GB2312" w:eastAsia="仿宋_GB2312"/>
          <w:sz w:val="32"/>
          <w:szCs w:val="32"/>
          <w:lang w:val="en-US" w:eastAsia="zh-CN"/>
        </w:rPr>
        <w:t>923.67万元，增长541.29%，</w:t>
      </w:r>
      <w:r>
        <w:rPr>
          <w:rFonts w:hint="eastAsia" w:ascii="仿宋_GB2312" w:eastAsia="仿宋_GB2312"/>
          <w:sz w:val="32"/>
          <w:szCs w:val="32"/>
          <w:lang w:eastAsia="zh-CN"/>
        </w:rPr>
        <w:t>增长主要原因是</w:t>
      </w:r>
      <w:r>
        <w:rPr>
          <w:rFonts w:ascii="仿宋_GB2312" w:eastAsia="仿宋_GB2312"/>
          <w:sz w:val="32"/>
          <w:szCs w:val="32"/>
          <w:lang w:eastAsia="zh-CN"/>
        </w:rPr>
        <w:t>项目支出未列入年初预算而且项目支出</w:t>
      </w:r>
      <w:r>
        <w:rPr>
          <w:rFonts w:hint="eastAsia" w:ascii="仿宋_GB2312" w:eastAsia="仿宋_GB2312"/>
          <w:sz w:val="32"/>
          <w:szCs w:val="32"/>
          <w:lang w:eastAsia="zh-CN"/>
        </w:rPr>
        <w:t>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1094.31</w:t>
      </w:r>
      <w:r>
        <w:rPr>
          <w:rFonts w:hint="eastAsia" w:ascii="仿宋_GB2312" w:eastAsia="仿宋_GB2312"/>
          <w:sz w:val="32"/>
          <w:szCs w:val="32"/>
        </w:rPr>
        <w:t>万元，其中：财政拨款收入</w:t>
      </w:r>
      <w:r>
        <w:rPr>
          <w:rFonts w:ascii="仿宋_GB2312" w:eastAsia="仿宋_GB2312"/>
          <w:sz w:val="32"/>
          <w:szCs w:val="32"/>
        </w:rPr>
        <w:t>305.05</w:t>
      </w:r>
      <w:r>
        <w:rPr>
          <w:rFonts w:hint="eastAsia" w:ascii="仿宋_GB2312" w:eastAsia="仿宋_GB2312"/>
          <w:sz w:val="32"/>
          <w:szCs w:val="32"/>
        </w:rPr>
        <w:t>万元，占</w:t>
      </w:r>
      <w:r>
        <w:rPr>
          <w:rFonts w:ascii="仿宋_GB2312" w:eastAsia="仿宋_GB2312"/>
          <w:sz w:val="32"/>
          <w:szCs w:val="32"/>
        </w:rPr>
        <w:t>27.88%</w:t>
      </w:r>
      <w:r>
        <w:rPr>
          <w:rFonts w:hint="eastAsia" w:ascii="仿宋_GB2312" w:eastAsia="仿宋_GB2312"/>
          <w:sz w:val="32"/>
          <w:szCs w:val="32"/>
        </w:rPr>
        <w:t>；</w:t>
      </w:r>
      <w:r>
        <w:rPr>
          <w:rFonts w:ascii="仿宋_GB2312" w:eastAsia="仿宋_GB2312"/>
          <w:sz w:val="32"/>
          <w:szCs w:val="32"/>
        </w:rPr>
        <w:t>上级补助收入0万元，占0%；事业收入0万元，占0%；经营收入0万元，占0%；附属单位缴款0万元，占0%；</w:t>
      </w:r>
      <w:r>
        <w:rPr>
          <w:rFonts w:hint="eastAsia" w:ascii="仿宋_GB2312" w:eastAsia="仿宋_GB2312"/>
          <w:sz w:val="32"/>
          <w:szCs w:val="32"/>
        </w:rPr>
        <w:t>其他收入</w:t>
      </w:r>
      <w:r>
        <w:rPr>
          <w:rFonts w:ascii="仿宋_GB2312" w:eastAsia="仿宋_GB2312"/>
          <w:sz w:val="32"/>
          <w:szCs w:val="32"/>
        </w:rPr>
        <w:t>789.25</w:t>
      </w:r>
      <w:r>
        <w:rPr>
          <w:rFonts w:hint="eastAsia" w:ascii="仿宋_GB2312" w:eastAsia="仿宋_GB2312"/>
          <w:sz w:val="32"/>
          <w:szCs w:val="32"/>
        </w:rPr>
        <w:t>万元，占</w:t>
      </w:r>
      <w:r>
        <w:rPr>
          <w:rFonts w:ascii="仿宋_GB2312" w:eastAsia="仿宋_GB2312"/>
          <w:sz w:val="32"/>
          <w:szCs w:val="32"/>
        </w:rPr>
        <w:t>72.12%</w:t>
      </w:r>
      <w:r>
        <w:rPr>
          <w:rFonts w:hint="eastAsia" w:ascii="仿宋_GB2312" w:eastAsia="仿宋_GB2312"/>
          <w:sz w:val="32"/>
          <w:szCs w:val="32"/>
        </w:rPr>
        <w:t>。增</w:t>
      </w:r>
      <w:r>
        <w:rPr>
          <w:rFonts w:ascii="仿宋_GB2312" w:eastAsia="仿宋_GB2312"/>
          <w:sz w:val="32"/>
          <w:szCs w:val="32"/>
        </w:rPr>
        <w:t>加</w:t>
      </w:r>
      <w:r>
        <w:rPr>
          <w:rFonts w:hint="eastAsia" w:ascii="仿宋_GB2312" w:eastAsia="仿宋_GB2312"/>
          <w:sz w:val="32"/>
          <w:szCs w:val="32"/>
        </w:rPr>
        <w:t>的主要原因是：2017年项目资金较上年增加。</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170.64</w:t>
      </w:r>
      <w:r>
        <w:rPr>
          <w:rFonts w:hint="eastAsia" w:ascii="仿宋_GB2312" w:eastAsia="仿宋_GB2312"/>
          <w:sz w:val="32"/>
          <w:szCs w:val="32"/>
        </w:rPr>
        <w:t>万元，本年</w:t>
      </w:r>
      <w:r>
        <w:rPr>
          <w:rFonts w:ascii="仿宋_GB2312" w:eastAsia="仿宋_GB2312"/>
          <w:sz w:val="32"/>
          <w:szCs w:val="32"/>
        </w:rPr>
        <w:t>收入</w:t>
      </w:r>
      <w:r>
        <w:rPr>
          <w:rFonts w:hint="eastAsia" w:ascii="仿宋_GB2312" w:eastAsia="仿宋_GB2312"/>
          <w:sz w:val="32"/>
          <w:szCs w:val="32"/>
        </w:rPr>
        <w:t>合计</w:t>
      </w:r>
      <w:r>
        <w:rPr>
          <w:rFonts w:ascii="仿宋_GB2312" w:eastAsia="仿宋_GB2312"/>
          <w:sz w:val="32"/>
          <w:szCs w:val="32"/>
        </w:rPr>
        <w:t>1094.31</w:t>
      </w:r>
      <w:r>
        <w:rPr>
          <w:rFonts w:hint="eastAsia" w:ascii="仿宋_GB2312" w:eastAsia="仿宋_GB2312"/>
          <w:sz w:val="32"/>
          <w:szCs w:val="32"/>
        </w:rPr>
        <w:t>万元，与预算相比情况，相差</w:t>
      </w:r>
      <w:r>
        <w:rPr>
          <w:rFonts w:ascii="仿宋_GB2312" w:eastAsia="仿宋_GB2312"/>
          <w:sz w:val="32"/>
          <w:szCs w:val="32"/>
        </w:rPr>
        <w:t>923.67</w:t>
      </w:r>
      <w:r>
        <w:rPr>
          <w:rFonts w:hint="eastAsia" w:ascii="仿宋_GB2312" w:eastAsia="仿宋_GB2312"/>
          <w:sz w:val="32"/>
          <w:szCs w:val="32"/>
        </w:rPr>
        <w:t>万元，比预算数增加，主要原因是</w:t>
      </w:r>
      <w:r>
        <w:rPr>
          <w:rFonts w:ascii="仿宋_GB2312" w:eastAsia="仿宋_GB2312"/>
          <w:sz w:val="32"/>
          <w:szCs w:val="32"/>
        </w:rPr>
        <w:t>项目款没有在预算内及人员经费增加</w:t>
      </w:r>
      <w:r>
        <w:rPr>
          <w:rFonts w:hint="eastAsia" w:ascii="仿宋_GB2312" w:eastAsia="仿宋_GB2312"/>
          <w:sz w:val="32"/>
          <w:szCs w:val="32"/>
        </w:rPr>
        <w:t>。</w:t>
      </w:r>
    </w:p>
    <w:p>
      <w:pPr>
        <w:spacing w:line="480" w:lineRule="exact"/>
        <w:ind w:firstLine="640" w:firstLineChars="200"/>
        <w:rPr>
          <w:rFonts w:hint="eastAsia" w:ascii="仿宋_GB2312" w:eastAsia="仿宋_GB231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961.26</w:t>
      </w:r>
      <w:r>
        <w:rPr>
          <w:rFonts w:hint="eastAsia" w:ascii="仿宋_GB2312" w:eastAsia="仿宋_GB2312"/>
          <w:sz w:val="32"/>
          <w:szCs w:val="32"/>
        </w:rPr>
        <w:t>万元，其中：基本支出</w:t>
      </w:r>
      <w:r>
        <w:rPr>
          <w:rFonts w:ascii="仿宋_GB2312" w:eastAsia="仿宋_GB2312"/>
          <w:sz w:val="32"/>
          <w:szCs w:val="32"/>
        </w:rPr>
        <w:t>197.48</w:t>
      </w:r>
      <w:r>
        <w:rPr>
          <w:rFonts w:hint="eastAsia" w:ascii="仿宋_GB2312" w:eastAsia="仿宋_GB2312"/>
          <w:sz w:val="32"/>
          <w:szCs w:val="32"/>
        </w:rPr>
        <w:t>万元，占</w:t>
      </w:r>
      <w:r>
        <w:rPr>
          <w:rFonts w:ascii="仿宋_GB2312" w:eastAsia="仿宋_GB2312"/>
          <w:sz w:val="32"/>
          <w:szCs w:val="32"/>
        </w:rPr>
        <w:t>20.54%</w:t>
      </w:r>
      <w:r>
        <w:rPr>
          <w:rFonts w:hint="eastAsia" w:ascii="仿宋_GB2312" w:eastAsia="仿宋_GB2312"/>
          <w:sz w:val="32"/>
          <w:szCs w:val="32"/>
        </w:rPr>
        <w:t>；项目支出</w:t>
      </w:r>
      <w:r>
        <w:rPr>
          <w:rFonts w:ascii="仿宋_GB2312" w:eastAsia="仿宋_GB2312"/>
          <w:sz w:val="32"/>
          <w:szCs w:val="32"/>
        </w:rPr>
        <w:t>763.78</w:t>
      </w:r>
      <w:r>
        <w:rPr>
          <w:rFonts w:hint="eastAsia" w:ascii="仿宋_GB2312" w:eastAsia="仿宋_GB2312"/>
          <w:sz w:val="32"/>
          <w:szCs w:val="32"/>
        </w:rPr>
        <w:t>万元，</w:t>
      </w:r>
      <w:r>
        <w:rPr>
          <w:rFonts w:ascii="仿宋_GB2312" w:eastAsia="仿宋_GB2312"/>
          <w:sz w:val="32"/>
          <w:szCs w:val="32"/>
        </w:rPr>
        <w:t>79.46%</w:t>
      </w:r>
      <w:r>
        <w:rPr>
          <w:rFonts w:hint="eastAsia" w:ascii="仿宋_GB2312" w:eastAsia="仿宋_GB2312"/>
          <w:sz w:val="32"/>
          <w:szCs w:val="32"/>
        </w:rPr>
        <w:t>；</w:t>
      </w:r>
      <w:r>
        <w:rPr>
          <w:rFonts w:ascii="仿宋_GB2312" w:eastAsia="仿宋_GB2312"/>
          <w:sz w:val="32"/>
          <w:szCs w:val="32"/>
        </w:rPr>
        <w:t>上缴上级支出0万元，占0%；经营支出0万元，占0%；对附属单位补助支出0万元，占0%。</w:t>
      </w:r>
      <w:r>
        <w:rPr>
          <w:rFonts w:hint="eastAsia" w:ascii="仿宋_GB2312" w:eastAsia="仿宋_GB2312"/>
          <w:sz w:val="32"/>
          <w:szCs w:val="32"/>
        </w:rPr>
        <w:t>增</w:t>
      </w:r>
      <w:r>
        <w:rPr>
          <w:rFonts w:ascii="仿宋_GB2312" w:eastAsia="仿宋_GB2312"/>
          <w:sz w:val="32"/>
          <w:szCs w:val="32"/>
        </w:rPr>
        <w:t>加</w:t>
      </w:r>
      <w:r>
        <w:rPr>
          <w:rFonts w:hint="eastAsia" w:ascii="仿宋_GB2312" w:eastAsia="仿宋_GB2312"/>
          <w:sz w:val="32"/>
          <w:szCs w:val="32"/>
        </w:rPr>
        <w:t>的主要原因是：2017年项目资金较上年增加。</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170.64</w:t>
      </w:r>
      <w:r>
        <w:rPr>
          <w:rFonts w:hint="eastAsia" w:ascii="仿宋_GB2312" w:eastAsia="仿宋_GB2312"/>
          <w:sz w:val="32"/>
          <w:szCs w:val="32"/>
        </w:rPr>
        <w:t>万元，本年支出合计</w:t>
      </w:r>
      <w:r>
        <w:rPr>
          <w:rFonts w:ascii="仿宋_GB2312" w:eastAsia="仿宋_GB2312"/>
          <w:sz w:val="32"/>
          <w:szCs w:val="32"/>
        </w:rPr>
        <w:t>961.26</w:t>
      </w:r>
      <w:r>
        <w:rPr>
          <w:rFonts w:hint="eastAsia" w:ascii="仿宋_GB2312" w:eastAsia="仿宋_GB2312"/>
          <w:sz w:val="32"/>
          <w:szCs w:val="32"/>
        </w:rPr>
        <w:t>万元，与预算相比情况，相差</w:t>
      </w:r>
      <w:r>
        <w:rPr>
          <w:rFonts w:ascii="仿宋_GB2312" w:eastAsia="仿宋_GB2312"/>
          <w:sz w:val="32"/>
          <w:szCs w:val="32"/>
        </w:rPr>
        <w:t>790.62</w:t>
      </w:r>
      <w:r>
        <w:rPr>
          <w:rFonts w:hint="eastAsia" w:ascii="仿宋_GB2312" w:eastAsia="仿宋_GB2312"/>
          <w:sz w:val="32"/>
          <w:szCs w:val="32"/>
        </w:rPr>
        <w:t>万元，比预算数增加，主要原因是</w:t>
      </w:r>
      <w:r>
        <w:rPr>
          <w:rFonts w:ascii="仿宋_GB2312" w:eastAsia="仿宋_GB2312"/>
          <w:sz w:val="32"/>
          <w:szCs w:val="32"/>
        </w:rPr>
        <w:t>项目款没有在预算内</w:t>
      </w:r>
      <w:r>
        <w:rPr>
          <w:rFonts w:hint="eastAsia" w:ascii="仿宋_GB2312" w:eastAsia="仿宋_GB2312"/>
          <w:sz w:val="32"/>
          <w:szCs w:val="32"/>
        </w:rPr>
        <w:t>。</w:t>
      </w:r>
    </w:p>
    <w:p>
      <w:pPr>
        <w:spacing w:line="480" w:lineRule="exact"/>
        <w:ind w:firstLine="640" w:firstLineChars="200"/>
        <w:rPr>
          <w:rFonts w:hint="eastAsia" w:ascii="仿宋_GB2312" w:eastAsia="仿宋_GB231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snapToGrid/>
        <w:spacing w:line="48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305.05</w:t>
      </w:r>
      <w:r>
        <w:rPr>
          <w:rFonts w:hint="eastAsia" w:ascii="仿宋_GB2312" w:eastAsia="仿宋_GB2312"/>
          <w:sz w:val="32"/>
          <w:szCs w:val="32"/>
        </w:rPr>
        <w:t>万元，与上年相比，减少</w:t>
      </w:r>
      <w:r>
        <w:rPr>
          <w:rFonts w:ascii="仿宋_GB2312" w:eastAsia="仿宋_GB2312"/>
          <w:sz w:val="32"/>
          <w:szCs w:val="32"/>
        </w:rPr>
        <w:t>57.45</w:t>
      </w:r>
      <w:r>
        <w:rPr>
          <w:rFonts w:hint="eastAsia" w:ascii="仿宋_GB2312" w:eastAsia="仿宋_GB2312"/>
          <w:sz w:val="32"/>
          <w:szCs w:val="32"/>
        </w:rPr>
        <w:t>万元，降低</w:t>
      </w:r>
      <w:r>
        <w:rPr>
          <w:rFonts w:ascii="仿宋_GB2312" w:eastAsia="仿宋_GB2312"/>
          <w:sz w:val="32"/>
          <w:szCs w:val="32"/>
        </w:rPr>
        <w:t>15.85%</w:t>
      </w:r>
      <w:r>
        <w:rPr>
          <w:rFonts w:hint="eastAsia" w:ascii="仿宋_GB2312" w:eastAsia="仿宋_GB2312"/>
          <w:sz w:val="32"/>
          <w:szCs w:val="32"/>
        </w:rPr>
        <w:t>。减</w:t>
      </w:r>
      <w:r>
        <w:rPr>
          <w:rFonts w:ascii="仿宋_GB2312" w:eastAsia="仿宋_GB2312"/>
          <w:sz w:val="32"/>
          <w:szCs w:val="32"/>
        </w:rPr>
        <w:t>少</w:t>
      </w:r>
      <w:r>
        <w:rPr>
          <w:rFonts w:hint="eastAsia" w:ascii="仿宋_GB2312" w:eastAsia="仿宋_GB2312"/>
          <w:sz w:val="32"/>
          <w:szCs w:val="32"/>
        </w:rPr>
        <w:t>的主要原因是：</w:t>
      </w:r>
      <w:r>
        <w:rPr>
          <w:rFonts w:ascii="仿宋_GB2312" w:eastAsia="仿宋_GB2312"/>
          <w:sz w:val="32"/>
          <w:szCs w:val="32"/>
        </w:rPr>
        <w:t>2017年财政拔款项目资金减少</w:t>
      </w:r>
      <w:r>
        <w:rPr>
          <w:rFonts w:hint="eastAsia" w:ascii="仿宋_GB2312" w:eastAsia="仿宋_GB2312"/>
          <w:sz w:val="32"/>
          <w:szCs w:val="32"/>
        </w:rPr>
        <w:t>。财政拨款支出</w:t>
      </w:r>
      <w:r>
        <w:rPr>
          <w:rFonts w:ascii="仿宋_GB2312" w:eastAsia="仿宋_GB2312"/>
          <w:sz w:val="32"/>
          <w:szCs w:val="32"/>
        </w:rPr>
        <w:t>305.05</w:t>
      </w:r>
      <w:r>
        <w:rPr>
          <w:rFonts w:hint="eastAsia" w:ascii="仿宋_GB2312" w:eastAsia="仿宋_GB2312"/>
          <w:sz w:val="32"/>
          <w:szCs w:val="32"/>
        </w:rPr>
        <w:t>万元，与上年相比，减少</w:t>
      </w:r>
      <w:r>
        <w:rPr>
          <w:rFonts w:ascii="仿宋_GB2312" w:eastAsia="仿宋_GB2312"/>
          <w:sz w:val="32"/>
          <w:szCs w:val="32"/>
        </w:rPr>
        <w:t>57.45</w:t>
      </w:r>
      <w:r>
        <w:rPr>
          <w:rFonts w:hint="eastAsia" w:ascii="仿宋_GB2312" w:eastAsia="仿宋_GB2312"/>
          <w:sz w:val="32"/>
          <w:szCs w:val="32"/>
        </w:rPr>
        <w:t>万元，降低</w:t>
      </w:r>
      <w:r>
        <w:rPr>
          <w:rFonts w:ascii="仿宋_GB2312" w:eastAsia="仿宋_GB2312"/>
          <w:sz w:val="32"/>
          <w:szCs w:val="32"/>
        </w:rPr>
        <w:t>15.85%</w:t>
      </w:r>
      <w:r>
        <w:rPr>
          <w:rFonts w:hint="eastAsia" w:ascii="仿宋_GB2312" w:eastAsia="仿宋_GB2312"/>
          <w:sz w:val="32"/>
          <w:szCs w:val="32"/>
        </w:rPr>
        <w:t>。其中：基本支出</w:t>
      </w:r>
      <w:r>
        <w:rPr>
          <w:rFonts w:ascii="仿宋_GB2312" w:eastAsia="仿宋_GB2312"/>
          <w:sz w:val="32"/>
          <w:szCs w:val="32"/>
        </w:rPr>
        <w:t>168.97</w:t>
      </w:r>
      <w:r>
        <w:rPr>
          <w:rFonts w:hint="eastAsia" w:ascii="仿宋_GB2312" w:eastAsia="仿宋_GB2312"/>
          <w:sz w:val="32"/>
          <w:szCs w:val="32"/>
        </w:rPr>
        <w:t>万元，项目支出</w:t>
      </w:r>
      <w:r>
        <w:rPr>
          <w:rFonts w:ascii="仿宋_GB2312" w:eastAsia="仿宋_GB2312"/>
          <w:sz w:val="32"/>
          <w:szCs w:val="32"/>
        </w:rPr>
        <w:t>136.08</w:t>
      </w:r>
      <w:r>
        <w:rPr>
          <w:rFonts w:hint="eastAsia" w:ascii="仿宋_GB2312" w:eastAsia="仿宋_GB2312"/>
          <w:sz w:val="32"/>
          <w:szCs w:val="32"/>
        </w:rPr>
        <w:t>万元。减</w:t>
      </w:r>
      <w:r>
        <w:rPr>
          <w:rFonts w:ascii="仿宋_GB2312" w:eastAsia="仿宋_GB2312"/>
          <w:sz w:val="32"/>
          <w:szCs w:val="32"/>
        </w:rPr>
        <w:t>少</w:t>
      </w:r>
      <w:r>
        <w:rPr>
          <w:rFonts w:hint="eastAsia" w:ascii="仿宋_GB2312" w:eastAsia="仿宋_GB2312"/>
          <w:sz w:val="32"/>
          <w:szCs w:val="32"/>
        </w:rPr>
        <w:t>的主要原因是：</w:t>
      </w:r>
      <w:r>
        <w:rPr>
          <w:rFonts w:ascii="仿宋_GB2312" w:eastAsia="仿宋_GB2312"/>
          <w:sz w:val="32"/>
          <w:szCs w:val="32"/>
        </w:rPr>
        <w:t>2017年财政拔款项目资金减少</w:t>
      </w:r>
      <w:r>
        <w:rPr>
          <w:rFonts w:hint="eastAsia" w:ascii="仿宋_GB2312" w:eastAsia="仿宋_GB2312"/>
          <w:sz w:val="32"/>
          <w:szCs w:val="32"/>
        </w:rPr>
        <w:t>。财政拨款结转结余</w:t>
      </w:r>
      <w:r>
        <w:rPr>
          <w:rFonts w:ascii="仿宋_GB2312" w:eastAsia="仿宋_GB2312"/>
          <w:sz w:val="32"/>
          <w:szCs w:val="32"/>
        </w:rPr>
        <w:t>0</w:t>
      </w:r>
      <w:r>
        <w:rPr>
          <w:rFonts w:hint="eastAsia" w:ascii="仿宋_GB2312" w:eastAsia="仿宋_GB2312"/>
          <w:sz w:val="32"/>
          <w:szCs w:val="32"/>
        </w:rPr>
        <w:t>万元，</w:t>
      </w:r>
      <w:r>
        <w:rPr>
          <w:rFonts w:ascii="仿宋_GB2312" w:eastAsia="仿宋_GB2312"/>
          <w:sz w:val="32"/>
          <w:szCs w:val="32"/>
        </w:rPr>
        <w:t>与上年相比，增加（减少）0万元，增长（降低）0%。增减变化的主要原因是：本年与</w:t>
      </w:r>
      <w:r>
        <w:rPr>
          <w:rFonts w:hint="eastAsia" w:ascii="仿宋_GB2312" w:eastAsia="仿宋_GB2312"/>
          <w:sz w:val="32"/>
          <w:szCs w:val="32"/>
        </w:rPr>
        <w:t>上年</w:t>
      </w:r>
      <w:r>
        <w:rPr>
          <w:rFonts w:ascii="仿宋_GB2312" w:eastAsia="仿宋_GB2312"/>
          <w:sz w:val="32"/>
          <w:szCs w:val="32"/>
        </w:rPr>
        <w:t>财政拔款结转结余都为0万元</w:t>
      </w:r>
      <w:r>
        <w:rPr>
          <w:rFonts w:hint="eastAsia" w:ascii="仿宋_GB2312" w:eastAsia="仿宋_GB2312"/>
          <w:sz w:val="32"/>
          <w:szCs w:val="32"/>
        </w:rPr>
        <w:t>。</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170.64</w:t>
      </w:r>
      <w:r>
        <w:rPr>
          <w:rFonts w:hint="eastAsia" w:ascii="仿宋_GB2312" w:eastAsia="仿宋_GB2312"/>
          <w:sz w:val="32"/>
          <w:szCs w:val="32"/>
        </w:rPr>
        <w:t>万元</w:t>
      </w:r>
      <w:r>
        <w:rPr>
          <w:rFonts w:ascii="仿宋_GB2312" w:eastAsia="仿宋_GB2312"/>
          <w:sz w:val="32"/>
          <w:szCs w:val="32"/>
        </w:rPr>
        <w:t>,本年财政拔款收入为305.05万元。相差134.86万元，比预算数增加，主要原因是</w:t>
      </w:r>
      <w:r>
        <w:rPr>
          <w:rFonts w:hint="eastAsia" w:ascii="仿宋_GB2312" w:eastAsia="仿宋_GB2312"/>
          <w:sz w:val="32"/>
          <w:szCs w:val="32"/>
        </w:rPr>
        <w:t>人员经费增加</w:t>
      </w:r>
      <w:r>
        <w:rPr>
          <w:rFonts w:ascii="仿宋_GB2312" w:eastAsia="仿宋_GB2312"/>
          <w:sz w:val="32"/>
          <w:szCs w:val="32"/>
        </w:rPr>
        <w:t>，项目资金不在预算内填列。</w:t>
      </w:r>
    </w:p>
    <w:p>
      <w:pPr>
        <w:spacing w:line="480" w:lineRule="exact"/>
        <w:ind w:left="0"/>
        <w:rPr>
          <w:rFonts w:ascii="仿宋_GB2312" w:eastAsia="仿宋_GB2312"/>
          <w:sz w:val="32"/>
          <w:szCs w:val="32"/>
        </w:rPr>
      </w:pPr>
      <w:r>
        <w:rPr>
          <w:rFonts w:ascii="仿宋_GB2312" w:eastAsia="仿宋_GB2312"/>
          <w:sz w:val="32"/>
          <w:szCs w:val="32"/>
        </w:rPr>
        <w:t>　　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305.05</w:t>
      </w:r>
      <w:r>
        <w:rPr>
          <w:rFonts w:hint="eastAsia" w:ascii="仿宋_GB2312" w:eastAsia="仿宋_GB2312"/>
          <w:sz w:val="32"/>
          <w:szCs w:val="32"/>
        </w:rPr>
        <w:t>万元。与上年相比，减少</w:t>
      </w:r>
      <w:r>
        <w:rPr>
          <w:rFonts w:ascii="仿宋_GB2312" w:eastAsia="仿宋_GB2312"/>
          <w:sz w:val="32"/>
          <w:szCs w:val="32"/>
        </w:rPr>
        <w:t>57.45</w:t>
      </w:r>
      <w:r>
        <w:rPr>
          <w:rFonts w:hint="eastAsia" w:ascii="仿宋_GB2312" w:eastAsia="仿宋_GB2312"/>
          <w:sz w:val="32"/>
          <w:szCs w:val="32"/>
        </w:rPr>
        <w:t>万元，降低</w:t>
      </w:r>
      <w:r>
        <w:rPr>
          <w:rFonts w:ascii="仿宋_GB2312" w:eastAsia="仿宋_GB2312"/>
          <w:sz w:val="32"/>
          <w:szCs w:val="32"/>
        </w:rPr>
        <w:t>15.85%</w:t>
      </w:r>
      <w:r>
        <w:rPr>
          <w:rFonts w:hint="eastAsia" w:ascii="仿宋_GB2312" w:eastAsia="仿宋_GB2312"/>
          <w:sz w:val="32"/>
          <w:szCs w:val="32"/>
        </w:rPr>
        <w:t>。减</w:t>
      </w:r>
      <w:r>
        <w:rPr>
          <w:rFonts w:ascii="仿宋_GB2312" w:eastAsia="仿宋_GB2312"/>
          <w:sz w:val="32"/>
          <w:szCs w:val="32"/>
        </w:rPr>
        <w:t>少</w:t>
      </w:r>
      <w:r>
        <w:rPr>
          <w:rFonts w:hint="eastAsia" w:ascii="仿宋_GB2312" w:eastAsia="仿宋_GB2312"/>
          <w:sz w:val="32"/>
          <w:szCs w:val="32"/>
        </w:rPr>
        <w:t>的主要原因是：</w:t>
      </w:r>
      <w:r>
        <w:rPr>
          <w:rFonts w:ascii="仿宋_GB2312" w:eastAsia="仿宋_GB2312"/>
          <w:sz w:val="32"/>
          <w:szCs w:val="32"/>
        </w:rPr>
        <w:t>2017年财政拔款项目资金减少。</w:t>
      </w:r>
      <w:r>
        <w:rPr>
          <w:rFonts w:hint="eastAsia" w:ascii="仿宋_GB2312" w:eastAsia="仿宋_GB2312"/>
          <w:sz w:val="32"/>
          <w:szCs w:val="32"/>
        </w:rPr>
        <w:t>其中：按功能分类科目，</w:t>
      </w:r>
      <w:r>
        <w:rPr>
          <w:rFonts w:ascii="仿宋_GB2312" w:eastAsia="仿宋_GB2312"/>
          <w:sz w:val="32"/>
          <w:szCs w:val="32"/>
        </w:rPr>
        <w:t>社会保障和就业支出17.82万元，城乡社区支出280.04万元，其他支出7.19万元</w:t>
      </w:r>
      <w:r>
        <w:rPr>
          <w:rFonts w:hint="eastAsia" w:ascii="仿宋_GB2312" w:eastAsia="仿宋_GB2312"/>
          <w:sz w:val="32"/>
          <w:szCs w:val="32"/>
        </w:rPr>
        <w:t>。按经济分类科目，工资福利支出</w:t>
      </w:r>
      <w:r>
        <w:rPr>
          <w:rFonts w:ascii="仿宋_GB2312" w:eastAsia="仿宋_GB2312"/>
          <w:sz w:val="32"/>
          <w:szCs w:val="32"/>
        </w:rPr>
        <w:t>129.73</w:t>
      </w:r>
      <w:r>
        <w:rPr>
          <w:rFonts w:hint="eastAsia" w:ascii="仿宋_GB2312" w:eastAsia="仿宋_GB2312"/>
          <w:sz w:val="32"/>
          <w:szCs w:val="32"/>
        </w:rPr>
        <w:t>万元，商品和服务支出</w:t>
      </w:r>
      <w:r>
        <w:rPr>
          <w:rFonts w:ascii="仿宋_GB2312" w:eastAsia="仿宋_GB2312"/>
          <w:sz w:val="32"/>
          <w:szCs w:val="32"/>
        </w:rPr>
        <w:t>1.48</w:t>
      </w:r>
      <w:r>
        <w:rPr>
          <w:rFonts w:hint="eastAsia" w:ascii="仿宋_GB2312" w:eastAsia="仿宋_GB2312"/>
          <w:sz w:val="32"/>
          <w:szCs w:val="32"/>
        </w:rPr>
        <w:t>万元，对个人和家庭的补助支出</w:t>
      </w:r>
      <w:r>
        <w:rPr>
          <w:rFonts w:ascii="仿宋_GB2312" w:eastAsia="仿宋_GB2312"/>
          <w:sz w:val="32"/>
          <w:szCs w:val="32"/>
        </w:rPr>
        <w:t>37.76</w:t>
      </w:r>
      <w:r>
        <w:rPr>
          <w:rFonts w:hint="eastAsia" w:ascii="仿宋_GB2312" w:eastAsia="仿宋_GB2312"/>
          <w:sz w:val="32"/>
          <w:szCs w:val="32"/>
        </w:rPr>
        <w:t>万元，其他资本性支出</w:t>
      </w:r>
      <w:r>
        <w:rPr>
          <w:rFonts w:ascii="仿宋_GB2312" w:eastAsia="仿宋_GB2312"/>
          <w:sz w:val="32"/>
          <w:szCs w:val="32"/>
        </w:rPr>
        <w:t>136.08</w:t>
      </w:r>
      <w:r>
        <w:rPr>
          <w:rFonts w:hint="eastAsia" w:ascii="仿宋_GB2312" w:eastAsia="仿宋_GB2312"/>
          <w:sz w:val="32"/>
          <w:szCs w:val="32"/>
        </w:rPr>
        <w:t>万元。</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170.64</w:t>
      </w:r>
      <w:r>
        <w:rPr>
          <w:rFonts w:hint="eastAsia" w:ascii="仿宋_GB2312" w:eastAsia="仿宋_GB2312"/>
          <w:sz w:val="32"/>
          <w:szCs w:val="32"/>
        </w:rPr>
        <w:t>万元</w:t>
      </w:r>
      <w:r>
        <w:rPr>
          <w:rFonts w:ascii="仿宋_GB2312" w:eastAsia="仿宋_GB2312"/>
          <w:sz w:val="32"/>
          <w:szCs w:val="32"/>
        </w:rPr>
        <w:t>,本年一般公共预算财政拔款支出为305.05万元。相差134.86万元，比预算数增加，主要原因是</w:t>
      </w:r>
      <w:r>
        <w:rPr>
          <w:rFonts w:hint="eastAsia" w:ascii="仿宋_GB2312" w:eastAsia="仿宋_GB2312"/>
          <w:sz w:val="32"/>
          <w:szCs w:val="32"/>
        </w:rPr>
        <w:t>人员经费增加</w:t>
      </w:r>
      <w:r>
        <w:rPr>
          <w:rFonts w:ascii="仿宋_GB2312" w:eastAsia="仿宋_GB2312"/>
          <w:sz w:val="32"/>
          <w:szCs w:val="32"/>
        </w:rPr>
        <w:t>，项目款不在预算内。</w:t>
      </w:r>
    </w:p>
    <w:p>
      <w:pPr>
        <w:spacing w:line="480" w:lineRule="exact"/>
        <w:ind w:firstLine="640" w:firstLineChars="200"/>
        <w:rPr>
          <w:rFonts w:ascii="仿宋_GB2312" w:eastAsia="仿宋_GB2312"/>
          <w:sz w:val="32"/>
          <w:szCs w:val="32"/>
        </w:rPr>
      </w:pPr>
      <w:r>
        <w:rPr>
          <w:rFonts w:ascii="仿宋_GB2312" w:eastAsia="仿宋_GB2312"/>
          <w:sz w:val="32"/>
          <w:szCs w:val="32"/>
        </w:rPr>
        <w:t>其他有关说明内容：无。</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（降低）</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48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480" w:lineRule="exact"/>
        <w:ind w:firstLine="640" w:firstLineChars="200"/>
        <w:rPr>
          <w:rFonts w:hint="eastAsia" w:ascii="仿宋_GB2312" w:eastAsia="仿宋_GB2312"/>
          <w:sz w:val="32"/>
          <w:szCs w:val="32"/>
          <w:lang w:eastAsia="zh-CN"/>
        </w:rPr>
      </w:pPr>
      <w:r>
        <w:rPr>
          <w:rFonts w:ascii="仿宋_GB2312" w:eastAsia="仿宋_GB2312"/>
          <w:sz w:val="32"/>
          <w:szCs w:val="32"/>
        </w:rPr>
        <w:t>其他有关说明内容：无。</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4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ascii="仿宋_GB2312" w:eastAsia="仿宋_GB2312"/>
          <w:sz w:val="32"/>
          <w:szCs w:val="32"/>
        </w:rPr>
        <w:t>社会保障和就业支出0万元，城乡社区支出0万元，其他支出0万元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ascii="仿宋_GB2312" w:eastAsia="仿宋_GB2312"/>
          <w:sz w:val="32"/>
          <w:szCs w:val="32"/>
          <w:lang w:eastAsia="zh-CN"/>
        </w:rPr>
        <w:t>对</w:t>
      </w:r>
      <w:r>
        <w:rPr>
          <w:rFonts w:hint="eastAsia" w:ascii="仿宋_GB2312" w:eastAsia="仿宋_GB2312"/>
          <w:sz w:val="32"/>
          <w:szCs w:val="32"/>
          <w:lang w:eastAsia="zh-CN"/>
        </w:rPr>
        <w:t>个人和家庭补助支出</w:t>
      </w:r>
      <w:r>
        <w:rPr>
          <w:rFonts w:hint="eastAsia" w:ascii="仿宋_GB2312" w:eastAsia="仿宋_GB2312"/>
          <w:sz w:val="32"/>
          <w:szCs w:val="32"/>
          <w:lang w:val="en-US" w:eastAsia="zh-CN"/>
        </w:rPr>
        <w:t>0万元</w:t>
      </w:r>
      <w:r>
        <w:rPr>
          <w:rFonts w:ascii="仿宋_GB2312" w:eastAsia="仿宋_GB2312"/>
          <w:sz w:val="32"/>
          <w:szCs w:val="32"/>
          <w:lang w:val="en-US" w:eastAsia="zh-CN"/>
        </w:rPr>
        <w:t>，</w:t>
      </w:r>
      <w:r>
        <w:rPr>
          <w:rFonts w:hint="eastAsia" w:ascii="仿宋_GB2312" w:eastAsia="仿宋_GB2312"/>
          <w:sz w:val="32"/>
          <w:szCs w:val="32"/>
        </w:rPr>
        <w:t>其他资本性支出</w:t>
      </w:r>
      <w:r>
        <w:rPr>
          <w:rFonts w:ascii="仿宋_GB2312" w:eastAsia="仿宋_GB2312"/>
          <w:sz w:val="32"/>
          <w:szCs w:val="32"/>
        </w:rPr>
        <w:t>0</w:t>
      </w:r>
      <w:r>
        <w:rPr>
          <w:rFonts w:hint="eastAsia" w:ascii="仿宋_GB2312" w:eastAsia="仿宋_GB2312"/>
          <w:sz w:val="32"/>
          <w:szCs w:val="32"/>
        </w:rPr>
        <w:t>万元。</w:t>
      </w:r>
    </w:p>
    <w:p>
      <w:pPr>
        <w:spacing w:line="48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480" w:lineRule="exact"/>
        <w:ind w:firstLine="640" w:firstLineChars="200"/>
        <w:rPr>
          <w:rFonts w:hint="eastAsia" w:ascii="仿宋_GB2312" w:eastAsia="仿宋_GB2312"/>
          <w:sz w:val="32"/>
          <w:szCs w:val="32"/>
          <w:lang w:val="en-US" w:eastAsia="zh-CN"/>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133.05</w:t>
      </w:r>
      <w:r>
        <w:rPr>
          <w:rFonts w:hint="eastAsia" w:ascii="仿宋_GB2312" w:eastAsia="仿宋_GB2312"/>
          <w:sz w:val="32"/>
          <w:szCs w:val="32"/>
        </w:rPr>
        <w:t>万元。与上年相比，增加</w:t>
      </w:r>
      <w:r>
        <w:rPr>
          <w:rFonts w:ascii="仿宋_GB2312" w:eastAsia="仿宋_GB2312"/>
          <w:sz w:val="32"/>
          <w:szCs w:val="32"/>
        </w:rPr>
        <w:t>133.05</w:t>
      </w:r>
      <w:r>
        <w:rPr>
          <w:rFonts w:hint="eastAsia" w:ascii="仿宋_GB2312" w:eastAsia="仿宋_GB2312"/>
          <w:sz w:val="32"/>
          <w:szCs w:val="32"/>
        </w:rPr>
        <w:t>万元，增长</w:t>
      </w:r>
      <w:r>
        <w:rPr>
          <w:rFonts w:ascii="仿宋_GB2312" w:eastAsia="仿宋_GB2312"/>
          <w:sz w:val="32"/>
          <w:szCs w:val="32"/>
        </w:rPr>
        <w:t>100%，</w:t>
      </w:r>
      <w:r>
        <w:rPr>
          <w:rFonts w:hint="eastAsia" w:ascii="仿宋_GB2312" w:eastAsia="仿宋_GB2312"/>
          <w:sz w:val="32"/>
          <w:szCs w:val="32"/>
        </w:rPr>
        <w:t>其中其他资金结转结余</w:t>
      </w:r>
      <w:r>
        <w:rPr>
          <w:rFonts w:ascii="仿宋_GB2312" w:eastAsia="仿宋_GB2312"/>
          <w:sz w:val="32"/>
          <w:szCs w:val="32"/>
        </w:rPr>
        <w:t>133.05</w:t>
      </w:r>
      <w:r>
        <w:rPr>
          <w:rFonts w:hint="eastAsia" w:ascii="仿宋_GB2312" w:eastAsia="仿宋_GB2312"/>
          <w:sz w:val="32"/>
          <w:szCs w:val="32"/>
        </w:rPr>
        <w:t>万元。与上年相比，增加</w:t>
      </w:r>
      <w:r>
        <w:rPr>
          <w:rFonts w:ascii="仿宋_GB2312" w:eastAsia="仿宋_GB2312"/>
          <w:sz w:val="32"/>
          <w:szCs w:val="32"/>
        </w:rPr>
        <w:t>133.05</w:t>
      </w:r>
      <w:r>
        <w:rPr>
          <w:rFonts w:hint="eastAsia" w:ascii="仿宋_GB2312" w:eastAsia="仿宋_GB2312"/>
          <w:sz w:val="32"/>
          <w:szCs w:val="32"/>
        </w:rPr>
        <w:t>万元。2017年其他收入增加其他资金结余增加。</w:t>
      </w:r>
    </w:p>
    <w:p>
      <w:pPr>
        <w:spacing w:line="500" w:lineRule="exact"/>
        <w:ind w:firstLine="640" w:firstLineChars="200"/>
        <w:rPr>
          <w:rFonts w:ascii="仿宋_GB2312" w:eastAsia="仿宋_GB2312"/>
          <w:sz w:val="32"/>
          <w:szCs w:val="32"/>
          <w:lang w:val="en-US" w:eastAsia="zh-CN"/>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snapToGrid/>
        <w:spacing w:line="48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1.48</w:t>
      </w:r>
      <w:r>
        <w:rPr>
          <w:rFonts w:hint="eastAsia" w:ascii="仿宋_GB2312" w:eastAsia="仿宋_GB2312"/>
          <w:sz w:val="32"/>
          <w:szCs w:val="32"/>
        </w:rPr>
        <w:t>万元，比上年减少</w:t>
      </w:r>
      <w:r>
        <w:rPr>
          <w:rFonts w:ascii="仿宋_GB2312" w:eastAsia="仿宋_GB2312"/>
          <w:sz w:val="32"/>
          <w:szCs w:val="32"/>
        </w:rPr>
        <w:t>5.22</w:t>
      </w:r>
      <w:r>
        <w:rPr>
          <w:rFonts w:hint="eastAsia" w:ascii="仿宋_GB2312" w:eastAsia="仿宋_GB2312"/>
          <w:sz w:val="32"/>
          <w:szCs w:val="32"/>
        </w:rPr>
        <w:t>万元，降低</w:t>
      </w:r>
      <w:r>
        <w:rPr>
          <w:rFonts w:ascii="仿宋_GB2312" w:eastAsia="仿宋_GB2312"/>
          <w:sz w:val="32"/>
          <w:szCs w:val="32"/>
        </w:rPr>
        <w:t>77.9%</w:t>
      </w:r>
      <w:r>
        <w:rPr>
          <w:rFonts w:hint="eastAsia" w:ascii="仿宋_GB2312" w:eastAsia="仿宋_GB2312"/>
          <w:sz w:val="32"/>
          <w:szCs w:val="32"/>
        </w:rPr>
        <w:t>，减少原因是</w:t>
      </w:r>
      <w:r>
        <w:rPr>
          <w:rFonts w:ascii="仿宋_GB2312" w:eastAsia="仿宋_GB2312"/>
          <w:sz w:val="32"/>
          <w:szCs w:val="32"/>
        </w:rPr>
        <w:t>2017年公务经费减少</w:t>
      </w:r>
      <w:r>
        <w:rPr>
          <w:rFonts w:hint="eastAsia" w:ascii="仿宋_GB2312" w:eastAsia="仿宋_GB2312"/>
          <w:sz w:val="32"/>
          <w:szCs w:val="32"/>
        </w:rPr>
        <w:t>。其中，因公出国（境）费支出</w:t>
      </w:r>
      <w:r>
        <w:rPr>
          <w:rFonts w:ascii="仿宋_GB2312" w:eastAsia="仿宋_GB2312"/>
          <w:sz w:val="32"/>
          <w:szCs w:val="32"/>
        </w:rPr>
        <w:t>0万元，占0%</w:t>
      </w:r>
      <w:r>
        <w:rPr>
          <w:rFonts w:hint="eastAsia" w:ascii="仿宋_GB2312" w:eastAsia="仿宋_GB2312"/>
          <w:sz w:val="32"/>
          <w:szCs w:val="32"/>
        </w:rPr>
        <w:t>，</w:t>
      </w:r>
      <w:r>
        <w:rPr>
          <w:rFonts w:ascii="仿宋_GB2312" w:eastAsia="仿宋_GB2312"/>
          <w:sz w:val="32"/>
          <w:szCs w:val="32"/>
        </w:rPr>
        <w:t>比上年增加（减少）0万元，增长（减少）0%，增加（减少）原因是:无因公出国（境）费支出；</w:t>
      </w:r>
      <w:r>
        <w:rPr>
          <w:rFonts w:hint="eastAsia" w:ascii="仿宋_GB2312" w:eastAsia="仿宋_GB2312"/>
          <w:sz w:val="32"/>
          <w:szCs w:val="32"/>
        </w:rPr>
        <w:t>公务用车购置及运行维护费支出</w:t>
      </w:r>
      <w:r>
        <w:rPr>
          <w:rFonts w:ascii="仿宋_GB2312" w:eastAsia="仿宋_GB2312"/>
          <w:sz w:val="32"/>
          <w:szCs w:val="32"/>
        </w:rPr>
        <w:t>0.91</w:t>
      </w:r>
      <w:r>
        <w:rPr>
          <w:rFonts w:hint="eastAsia" w:ascii="仿宋_GB2312" w:eastAsia="仿宋_GB2312"/>
          <w:sz w:val="32"/>
          <w:szCs w:val="32"/>
        </w:rPr>
        <w:t>万元，占</w:t>
      </w:r>
      <w:r>
        <w:rPr>
          <w:rFonts w:ascii="仿宋_GB2312" w:eastAsia="仿宋_GB2312"/>
          <w:sz w:val="32"/>
          <w:szCs w:val="32"/>
        </w:rPr>
        <w:t>61.48%</w:t>
      </w:r>
      <w:r>
        <w:rPr>
          <w:rFonts w:hint="eastAsia" w:ascii="仿宋_GB2312" w:eastAsia="仿宋_GB2312"/>
          <w:sz w:val="32"/>
          <w:szCs w:val="32"/>
        </w:rPr>
        <w:t>，比上年减少</w:t>
      </w:r>
      <w:r>
        <w:rPr>
          <w:rFonts w:ascii="仿宋_GB2312" w:eastAsia="仿宋_GB2312"/>
          <w:sz w:val="32"/>
          <w:szCs w:val="32"/>
        </w:rPr>
        <w:t>3.79</w:t>
      </w:r>
      <w:r>
        <w:rPr>
          <w:rFonts w:hint="eastAsia" w:ascii="仿宋_GB2312" w:eastAsia="仿宋_GB2312"/>
          <w:sz w:val="32"/>
          <w:szCs w:val="32"/>
        </w:rPr>
        <w:t>万元，降低</w:t>
      </w:r>
      <w:r>
        <w:rPr>
          <w:rFonts w:ascii="仿宋_GB2312" w:eastAsia="仿宋_GB2312"/>
          <w:sz w:val="32"/>
          <w:szCs w:val="32"/>
        </w:rPr>
        <w:t>80.6%</w:t>
      </w:r>
      <w:r>
        <w:rPr>
          <w:rFonts w:hint="eastAsia" w:ascii="仿宋_GB2312" w:eastAsia="仿宋_GB2312"/>
          <w:sz w:val="32"/>
          <w:szCs w:val="32"/>
        </w:rPr>
        <w:t>，减少原因是</w:t>
      </w:r>
      <w:r>
        <w:rPr>
          <w:rFonts w:ascii="仿宋_GB2312" w:eastAsia="仿宋_GB2312"/>
          <w:sz w:val="32"/>
          <w:szCs w:val="32"/>
        </w:rPr>
        <w:t>车辆运行维护费用压缩</w:t>
      </w:r>
      <w:r>
        <w:rPr>
          <w:rFonts w:hint="eastAsia" w:ascii="仿宋_GB2312" w:eastAsia="仿宋_GB2312"/>
          <w:sz w:val="32"/>
          <w:szCs w:val="32"/>
        </w:rPr>
        <w:t>；公务接待费支出</w:t>
      </w:r>
      <w:r>
        <w:rPr>
          <w:rFonts w:ascii="仿宋_GB2312" w:eastAsia="仿宋_GB2312"/>
          <w:sz w:val="32"/>
          <w:szCs w:val="32"/>
        </w:rPr>
        <w:t>0.58</w:t>
      </w:r>
      <w:r>
        <w:rPr>
          <w:rFonts w:hint="eastAsia" w:ascii="仿宋_GB2312" w:eastAsia="仿宋_GB2312"/>
          <w:sz w:val="32"/>
          <w:szCs w:val="32"/>
        </w:rPr>
        <w:t>万元，占</w:t>
      </w:r>
      <w:r>
        <w:rPr>
          <w:rFonts w:ascii="仿宋_GB2312" w:eastAsia="仿宋_GB2312"/>
          <w:sz w:val="32"/>
          <w:szCs w:val="32"/>
        </w:rPr>
        <w:t>19.4%</w:t>
      </w:r>
      <w:r>
        <w:rPr>
          <w:rFonts w:hint="eastAsia" w:ascii="仿宋_GB2312" w:eastAsia="仿宋_GB2312"/>
          <w:sz w:val="32"/>
          <w:szCs w:val="32"/>
        </w:rPr>
        <w:t>，比上年减少</w:t>
      </w:r>
      <w:r>
        <w:rPr>
          <w:rFonts w:ascii="仿宋_GB2312" w:eastAsia="仿宋_GB2312"/>
          <w:sz w:val="32"/>
          <w:szCs w:val="32"/>
        </w:rPr>
        <w:t>1.42</w:t>
      </w:r>
      <w:r>
        <w:rPr>
          <w:rFonts w:hint="eastAsia" w:ascii="仿宋_GB2312" w:eastAsia="仿宋_GB2312"/>
          <w:sz w:val="32"/>
          <w:szCs w:val="32"/>
        </w:rPr>
        <w:t>万元，</w:t>
      </w:r>
      <w:bookmarkStart w:id="0" w:name="_GoBack"/>
      <w:bookmarkEnd w:id="0"/>
      <w:r>
        <w:rPr>
          <w:rFonts w:hint="eastAsia" w:ascii="仿宋_GB2312" w:eastAsia="仿宋_GB2312"/>
          <w:sz w:val="32"/>
          <w:szCs w:val="32"/>
        </w:rPr>
        <w:t>降低</w:t>
      </w:r>
      <w:r>
        <w:rPr>
          <w:rFonts w:ascii="仿宋_GB2312" w:eastAsia="仿宋_GB2312"/>
          <w:sz w:val="32"/>
          <w:szCs w:val="32"/>
        </w:rPr>
        <w:t>71%</w:t>
      </w:r>
      <w:r>
        <w:rPr>
          <w:rFonts w:hint="eastAsia" w:ascii="仿宋_GB2312" w:eastAsia="仿宋_GB2312"/>
          <w:sz w:val="32"/>
          <w:szCs w:val="32"/>
        </w:rPr>
        <w:t>，减少原因是单位压缩公务接待</w:t>
      </w:r>
      <w:r>
        <w:rPr>
          <w:rFonts w:ascii="仿宋_GB2312" w:eastAsia="仿宋_GB2312"/>
          <w:sz w:val="32"/>
          <w:szCs w:val="32"/>
        </w:rPr>
        <w:t>费用</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0万元</w:t>
      </w:r>
      <w:r>
        <w:rPr>
          <w:rFonts w:hint="eastAsia" w:ascii="仿宋_GB2312" w:eastAsia="仿宋_GB2312"/>
          <w:sz w:val="32"/>
          <w:szCs w:val="32"/>
        </w:rPr>
        <w:t>。</w:t>
      </w:r>
      <w:r>
        <w:rPr>
          <w:rFonts w:ascii="仿宋_GB2312" w:eastAsia="仿宋_GB2312"/>
          <w:sz w:val="32"/>
          <w:szCs w:val="32"/>
        </w:rPr>
        <w:t>木垒县规划局</w:t>
      </w:r>
      <w:r>
        <w:rPr>
          <w:rFonts w:hint="eastAsia" w:ascii="仿宋_GB2312" w:eastAsia="仿宋_GB2312"/>
          <w:sz w:val="32"/>
          <w:szCs w:val="32"/>
        </w:rPr>
        <w:t>全年一般公共预算财政拨款安排的出国（境）团组</w:t>
      </w:r>
      <w:r>
        <w:rPr>
          <w:rFonts w:ascii="仿宋_GB2312" w:eastAsia="仿宋_GB2312"/>
          <w:sz w:val="32"/>
          <w:szCs w:val="32"/>
        </w:rPr>
        <w:t>0个，累计0人次。开支内容包括：无。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0.91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0万元</w:t>
      </w:r>
      <w:r>
        <w:rPr>
          <w:rFonts w:hint="eastAsia" w:ascii="仿宋_GB2312" w:eastAsia="仿宋_GB2312"/>
          <w:sz w:val="32"/>
          <w:szCs w:val="32"/>
        </w:rPr>
        <w:t>，公务用车运行维护费</w:t>
      </w:r>
      <w:r>
        <w:rPr>
          <w:rFonts w:ascii="仿宋_GB2312" w:eastAsia="仿宋_GB2312"/>
          <w:sz w:val="32"/>
          <w:szCs w:val="32"/>
        </w:rPr>
        <w:t>0.91</w:t>
      </w:r>
      <w:r>
        <w:rPr>
          <w:rFonts w:hint="eastAsia" w:ascii="仿宋_GB2312" w:eastAsia="仿宋_GB2312"/>
          <w:sz w:val="32"/>
          <w:szCs w:val="32"/>
        </w:rPr>
        <w:t>万元。主要用于</w:t>
      </w:r>
      <w:r>
        <w:rPr>
          <w:rFonts w:ascii="仿宋_GB2312" w:eastAsia="仿宋_GB2312"/>
          <w:sz w:val="32"/>
          <w:szCs w:val="32"/>
        </w:rPr>
        <w:t>单位车辆日常运行</w:t>
      </w:r>
      <w:r>
        <w:rPr>
          <w:rFonts w:hint="eastAsia" w:ascii="仿宋_GB2312" w:eastAsia="仿宋_GB2312"/>
          <w:sz w:val="32"/>
          <w:szCs w:val="32"/>
        </w:rPr>
        <w:t>等。</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木垒县规划局</w:t>
      </w:r>
      <w:r>
        <w:rPr>
          <w:rFonts w:hint="eastAsia" w:ascii="仿宋_GB2312" w:eastAsia="仿宋_GB2312"/>
          <w:sz w:val="32"/>
          <w:szCs w:val="32"/>
        </w:rPr>
        <w:t>一般公共财政拨款安排公务用车购置</w:t>
      </w:r>
      <w:r>
        <w:rPr>
          <w:rFonts w:ascii="仿宋_GB2312" w:eastAsia="仿宋_GB2312"/>
          <w:sz w:val="32"/>
          <w:szCs w:val="32"/>
        </w:rPr>
        <w:t>量0辆</w:t>
      </w:r>
      <w:r>
        <w:rPr>
          <w:rFonts w:hint="eastAsia" w:ascii="仿宋_GB2312" w:eastAsia="仿宋_GB2312"/>
          <w:sz w:val="32"/>
          <w:szCs w:val="32"/>
        </w:rPr>
        <w:t>，保有量为</w:t>
      </w:r>
      <w:r>
        <w:rPr>
          <w:rFonts w:ascii="仿宋_GB2312" w:eastAsia="仿宋_GB2312"/>
          <w:sz w:val="32"/>
          <w:szCs w:val="32"/>
        </w:rPr>
        <w:t>2</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0.58</w:t>
      </w:r>
      <w:r>
        <w:rPr>
          <w:rFonts w:hint="eastAsia" w:ascii="仿宋_GB2312" w:eastAsia="仿宋_GB2312"/>
          <w:sz w:val="32"/>
          <w:szCs w:val="32"/>
        </w:rPr>
        <w:t>万元。具体是：国内公务接待支出</w:t>
      </w:r>
      <w:r>
        <w:rPr>
          <w:rFonts w:ascii="仿宋_GB2312" w:eastAsia="仿宋_GB2312"/>
          <w:sz w:val="32"/>
          <w:szCs w:val="32"/>
        </w:rPr>
        <w:t>0.58</w:t>
      </w:r>
      <w:r>
        <w:rPr>
          <w:rFonts w:hint="eastAsia" w:ascii="仿宋_GB2312" w:eastAsia="仿宋_GB2312"/>
          <w:sz w:val="32"/>
          <w:szCs w:val="32"/>
        </w:rPr>
        <w:t>万元，</w:t>
      </w:r>
      <w:r>
        <w:rPr>
          <w:rFonts w:ascii="仿宋_GB2312" w:eastAsia="仿宋_GB2312"/>
          <w:sz w:val="32"/>
          <w:szCs w:val="32"/>
        </w:rPr>
        <w:t>主要是上级部门检查指导工作等用餐。木垒县规划局</w:t>
      </w:r>
      <w:r>
        <w:rPr>
          <w:rFonts w:hint="eastAsia" w:ascii="仿宋_GB2312" w:eastAsia="仿宋_GB2312"/>
          <w:sz w:val="32"/>
          <w:szCs w:val="32"/>
        </w:rPr>
        <w:t>国内公务接待</w:t>
      </w:r>
      <w:r>
        <w:rPr>
          <w:rFonts w:ascii="仿宋_GB2312" w:eastAsia="仿宋_GB2312"/>
          <w:sz w:val="32"/>
          <w:szCs w:val="32"/>
        </w:rPr>
        <w:t>10</w:t>
      </w:r>
      <w:r>
        <w:rPr>
          <w:rFonts w:hint="eastAsia" w:ascii="仿宋_GB2312" w:eastAsia="仿宋_GB2312"/>
          <w:sz w:val="32"/>
          <w:szCs w:val="32"/>
        </w:rPr>
        <w:t>批次，</w:t>
      </w:r>
      <w:r>
        <w:rPr>
          <w:rFonts w:ascii="仿宋_GB2312" w:eastAsia="仿宋_GB2312"/>
          <w:sz w:val="32"/>
          <w:szCs w:val="32"/>
        </w:rPr>
        <w:t>410</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lang w:val="en-US" w:eastAsia="zh-CN"/>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2017年三公经费决算数1.48万元，与预算数持平。</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w:t>
      </w:r>
      <w:r>
        <w:rPr>
          <w:rFonts w:ascii="仿宋_GB2312" w:eastAsia="仿宋_GB2312"/>
          <w:sz w:val="32"/>
          <w:szCs w:val="32"/>
        </w:rPr>
        <w:t>木垒县规划局</w:t>
      </w:r>
      <w:r>
        <w:rPr>
          <w:rFonts w:hint="eastAsia" w:ascii="仿宋_GB2312" w:eastAsia="仿宋_GB2312"/>
          <w:sz w:val="32"/>
          <w:szCs w:val="32"/>
        </w:rPr>
        <w:t>机关运行经费支出</w:t>
      </w:r>
      <w:r>
        <w:rPr>
          <w:rFonts w:ascii="仿宋_GB2312" w:eastAsia="仿宋_GB2312"/>
          <w:sz w:val="32"/>
          <w:szCs w:val="32"/>
        </w:rPr>
        <w:t>1.48</w:t>
      </w:r>
      <w:r>
        <w:rPr>
          <w:rFonts w:hint="eastAsia" w:ascii="仿宋_GB2312" w:eastAsia="仿宋_GB2312"/>
          <w:sz w:val="32"/>
          <w:szCs w:val="32"/>
        </w:rPr>
        <w:t>万元，比上年减少</w:t>
      </w:r>
      <w:r>
        <w:rPr>
          <w:rFonts w:ascii="仿宋_GB2312" w:eastAsia="仿宋_GB2312"/>
          <w:sz w:val="32"/>
          <w:szCs w:val="32"/>
        </w:rPr>
        <w:t>5.22</w:t>
      </w:r>
      <w:r>
        <w:rPr>
          <w:rFonts w:hint="eastAsia" w:ascii="仿宋_GB2312" w:eastAsia="仿宋_GB2312"/>
          <w:sz w:val="32"/>
          <w:szCs w:val="32"/>
        </w:rPr>
        <w:t>万元，降低</w:t>
      </w:r>
      <w:r>
        <w:rPr>
          <w:rFonts w:ascii="仿宋_GB2312" w:eastAsia="仿宋_GB2312"/>
          <w:sz w:val="32"/>
          <w:szCs w:val="32"/>
        </w:rPr>
        <w:t>77.9%</w:t>
      </w:r>
      <w:r>
        <w:rPr>
          <w:rFonts w:hint="eastAsia" w:ascii="仿宋_GB2312" w:eastAsia="仿宋_GB2312"/>
          <w:sz w:val="32"/>
          <w:szCs w:val="32"/>
        </w:rPr>
        <w:t>，</w:t>
      </w:r>
      <w:r>
        <w:rPr>
          <w:rFonts w:ascii="仿宋_GB2312" w:eastAsia="仿宋_GB2312"/>
          <w:sz w:val="32"/>
          <w:szCs w:val="32"/>
        </w:rPr>
        <w:t>减少的</w:t>
      </w:r>
      <w:r>
        <w:rPr>
          <w:rFonts w:hint="eastAsia" w:ascii="仿宋_GB2312" w:eastAsia="仿宋_GB2312"/>
          <w:sz w:val="32"/>
          <w:szCs w:val="32"/>
        </w:rPr>
        <w:t>主要原因是</w:t>
      </w:r>
      <w:r>
        <w:rPr>
          <w:rFonts w:ascii="仿宋_GB2312" w:eastAsia="仿宋_GB2312"/>
          <w:sz w:val="32"/>
          <w:szCs w:val="32"/>
        </w:rPr>
        <w:t>2017年公务经费减少</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木垒县规划局</w:t>
      </w:r>
      <w:r>
        <w:rPr>
          <w:rFonts w:hint="eastAsia" w:ascii="仿宋_GB2312" w:eastAsia="仿宋_GB2312"/>
          <w:sz w:val="32"/>
          <w:szCs w:val="32"/>
        </w:rPr>
        <w:t>政府采购计划</w:t>
      </w:r>
      <w:r>
        <w:rPr>
          <w:rFonts w:ascii="仿宋_GB2312" w:eastAsia="仿宋_GB2312"/>
          <w:sz w:val="32"/>
          <w:szCs w:val="32"/>
        </w:rPr>
        <w:t>14.01</w:t>
      </w:r>
      <w:r>
        <w:rPr>
          <w:rFonts w:hint="eastAsia" w:ascii="仿宋_GB2312" w:eastAsia="仿宋_GB2312"/>
          <w:sz w:val="32"/>
          <w:szCs w:val="32"/>
        </w:rPr>
        <w:t>万元，其中：政府采购货物支出</w:t>
      </w:r>
      <w:r>
        <w:rPr>
          <w:rFonts w:ascii="仿宋_GB2312" w:eastAsia="仿宋_GB2312"/>
          <w:sz w:val="32"/>
          <w:szCs w:val="32"/>
        </w:rPr>
        <w:t>9.61</w:t>
      </w:r>
      <w:r>
        <w:rPr>
          <w:rFonts w:hint="eastAsia" w:ascii="仿宋_GB2312" w:eastAsia="仿宋_GB2312"/>
          <w:sz w:val="32"/>
          <w:szCs w:val="32"/>
        </w:rPr>
        <w:t>万元、政府采购工程支出</w:t>
      </w:r>
      <w:r>
        <w:rPr>
          <w:rFonts w:ascii="仿宋_GB2312" w:eastAsia="仿宋_GB2312"/>
          <w:sz w:val="32"/>
          <w:szCs w:val="32"/>
        </w:rPr>
        <w:t>0万元</w:t>
      </w:r>
      <w:r>
        <w:rPr>
          <w:rFonts w:hint="eastAsia" w:ascii="仿宋_GB2312" w:eastAsia="仿宋_GB2312"/>
          <w:sz w:val="32"/>
          <w:szCs w:val="32"/>
        </w:rPr>
        <w:t>、政府采购服务支出</w:t>
      </w:r>
      <w:r>
        <w:rPr>
          <w:rFonts w:ascii="仿宋_GB2312" w:eastAsia="仿宋_GB2312"/>
          <w:sz w:val="32"/>
          <w:szCs w:val="32"/>
        </w:rPr>
        <w:t>4.40</w:t>
      </w:r>
      <w:r>
        <w:rPr>
          <w:rFonts w:hint="eastAsia" w:ascii="仿宋_GB2312" w:eastAsia="仿宋_GB2312"/>
          <w:sz w:val="32"/>
          <w:szCs w:val="32"/>
        </w:rPr>
        <w:t>万元；实际采购</w:t>
      </w:r>
      <w:r>
        <w:rPr>
          <w:rFonts w:ascii="仿宋_GB2312" w:eastAsia="仿宋_GB2312"/>
          <w:sz w:val="32"/>
          <w:szCs w:val="32"/>
        </w:rPr>
        <w:t>14.01</w:t>
      </w:r>
      <w:r>
        <w:rPr>
          <w:rFonts w:hint="eastAsia" w:ascii="仿宋_GB2312" w:eastAsia="仿宋_GB2312"/>
          <w:sz w:val="32"/>
          <w:szCs w:val="32"/>
        </w:rPr>
        <w:t>万元，其中：政府采购货物支出</w:t>
      </w:r>
      <w:r>
        <w:rPr>
          <w:rFonts w:ascii="仿宋_GB2312" w:eastAsia="仿宋_GB2312"/>
          <w:sz w:val="32"/>
          <w:szCs w:val="32"/>
        </w:rPr>
        <w:t>9.61</w:t>
      </w:r>
      <w:r>
        <w:rPr>
          <w:rFonts w:hint="eastAsia" w:ascii="仿宋_GB2312" w:eastAsia="仿宋_GB2312"/>
          <w:sz w:val="32"/>
          <w:szCs w:val="32"/>
        </w:rPr>
        <w:t>万元、政府采购工程支出</w:t>
      </w:r>
      <w:r>
        <w:rPr>
          <w:rFonts w:ascii="仿宋_GB2312" w:eastAsia="仿宋_GB2312"/>
          <w:sz w:val="32"/>
          <w:szCs w:val="32"/>
        </w:rPr>
        <w:t>0万元</w:t>
      </w:r>
      <w:r>
        <w:rPr>
          <w:rFonts w:hint="eastAsia" w:ascii="仿宋_GB2312" w:eastAsia="仿宋_GB2312"/>
          <w:sz w:val="32"/>
          <w:szCs w:val="32"/>
        </w:rPr>
        <w:t>、政府采购服务支出</w:t>
      </w:r>
      <w:r>
        <w:rPr>
          <w:rFonts w:ascii="仿宋_GB2312" w:eastAsia="仿宋_GB2312"/>
          <w:sz w:val="32"/>
          <w:szCs w:val="32"/>
        </w:rPr>
        <w:t>4.40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lang w:val="en-GB"/>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242.46</w:t>
      </w:r>
      <w:r>
        <w:rPr>
          <w:rFonts w:hint="eastAsia" w:ascii="仿宋_GB2312" w:eastAsia="仿宋_GB2312"/>
          <w:sz w:val="32"/>
          <w:szCs w:val="32"/>
        </w:rPr>
        <w:t>万元，其中：流动资产</w:t>
      </w:r>
      <w:r>
        <w:rPr>
          <w:rFonts w:ascii="仿宋_GB2312" w:eastAsia="仿宋_GB2312"/>
          <w:sz w:val="32"/>
          <w:szCs w:val="32"/>
        </w:rPr>
        <w:t>151.30</w:t>
      </w:r>
      <w:r>
        <w:rPr>
          <w:rFonts w:hint="eastAsia" w:ascii="仿宋_GB2312" w:eastAsia="仿宋_GB2312"/>
          <w:sz w:val="32"/>
          <w:szCs w:val="32"/>
        </w:rPr>
        <w:t>万元，固定资产</w:t>
      </w:r>
      <w:r>
        <w:rPr>
          <w:rFonts w:ascii="仿宋_GB2312" w:eastAsia="仿宋_GB2312"/>
          <w:sz w:val="32"/>
          <w:szCs w:val="32"/>
        </w:rPr>
        <w:t>91.17</w:t>
      </w:r>
      <w:r>
        <w:rPr>
          <w:rFonts w:hint="eastAsia" w:ascii="仿宋_GB2312" w:eastAsia="仿宋_GB2312"/>
          <w:sz w:val="32"/>
          <w:szCs w:val="32"/>
        </w:rPr>
        <w:t>万元，其中：房屋</w:t>
      </w:r>
      <w:r>
        <w:rPr>
          <w:rFonts w:ascii="仿宋_GB2312" w:eastAsia="仿宋_GB2312"/>
          <w:sz w:val="32"/>
          <w:szCs w:val="32"/>
        </w:rPr>
        <w:t>15</w:t>
      </w:r>
      <w:r>
        <w:rPr>
          <w:rFonts w:hint="eastAsia" w:ascii="仿宋_GB2312" w:eastAsia="仿宋_GB2312"/>
          <w:sz w:val="32"/>
          <w:szCs w:val="32"/>
        </w:rPr>
        <w:t>（平方米），价值</w:t>
      </w:r>
      <w:r>
        <w:rPr>
          <w:rFonts w:ascii="仿宋_GB2312" w:eastAsia="仿宋_GB2312"/>
          <w:sz w:val="32"/>
          <w:szCs w:val="32"/>
        </w:rPr>
        <w:t>1.50</w:t>
      </w:r>
      <w:r>
        <w:rPr>
          <w:rFonts w:hint="eastAsia" w:ascii="仿宋_GB2312" w:eastAsia="仿宋_GB2312"/>
          <w:sz w:val="32"/>
          <w:szCs w:val="32"/>
        </w:rPr>
        <w:t>万元，共有车辆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42.58</w:t>
      </w:r>
      <w:r>
        <w:rPr>
          <w:rFonts w:hint="eastAsia" w:ascii="仿宋_GB2312" w:eastAsia="仿宋_GB2312"/>
          <w:sz w:val="32"/>
          <w:szCs w:val="32"/>
        </w:rPr>
        <w:t>万元，其中：</w:t>
      </w:r>
      <w:r>
        <w:rPr>
          <w:rFonts w:ascii="仿宋_GB2312" w:eastAsia="仿宋_GB2312"/>
          <w:sz w:val="32"/>
          <w:szCs w:val="32"/>
        </w:rPr>
        <w:t>部级领导干部用车0辆、</w:t>
      </w:r>
      <w:r>
        <w:rPr>
          <w:rFonts w:hint="eastAsia" w:ascii="仿宋_GB2312" w:eastAsia="仿宋_GB2312"/>
          <w:sz w:val="32"/>
          <w:szCs w:val="32"/>
        </w:rPr>
        <w:t>一般公务用车</w:t>
      </w:r>
      <w:r>
        <w:rPr>
          <w:rFonts w:ascii="仿宋_GB2312" w:eastAsia="仿宋_GB2312"/>
          <w:sz w:val="32"/>
          <w:szCs w:val="32"/>
        </w:rPr>
        <w:t>2</w:t>
      </w:r>
      <w:r>
        <w:rPr>
          <w:rFonts w:hint="eastAsia" w:ascii="仿宋_GB2312" w:eastAsia="仿宋_GB2312"/>
          <w:sz w:val="32"/>
          <w:szCs w:val="32"/>
        </w:rPr>
        <w:t>辆</w:t>
      </w:r>
      <w:r>
        <w:rPr>
          <w:rFonts w:ascii="仿宋_GB2312" w:eastAsia="仿宋_GB2312"/>
          <w:sz w:val="32"/>
          <w:szCs w:val="32"/>
        </w:rPr>
        <w:t>，一般执法执勤用车0辆，特种专业技术用车0辆、其他用车0辆（其他用车主要是：无）</w:t>
      </w:r>
      <w:r>
        <w:rPr>
          <w:rFonts w:hint="eastAsia" w:ascii="仿宋_GB2312" w:eastAsia="仿宋_GB2312"/>
          <w:sz w:val="32"/>
          <w:szCs w:val="32"/>
        </w:rPr>
        <w:t>；单位价值</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0台（套）、</w:t>
      </w:r>
      <w:r>
        <w:rPr>
          <w:rFonts w:hint="eastAsia" w:ascii="仿宋_GB2312" w:eastAsia="仿宋_GB2312"/>
          <w:sz w:val="32"/>
          <w:szCs w:val="32"/>
        </w:rPr>
        <w:t>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0台（套）</w:t>
      </w:r>
      <w:r>
        <w:rPr>
          <w:rFonts w:hint="eastAsia" w:ascii="仿宋_GB2312" w:eastAsia="仿宋_GB2312"/>
          <w:sz w:val="32"/>
          <w:szCs w:val="32"/>
        </w:rPr>
        <w:t>，其他固定资产价值</w:t>
      </w:r>
      <w:r>
        <w:rPr>
          <w:rFonts w:ascii="仿宋_GB2312" w:eastAsia="仿宋_GB2312"/>
          <w:sz w:val="32"/>
          <w:szCs w:val="32"/>
        </w:rPr>
        <w:t>47.09</w:t>
      </w:r>
      <w:r>
        <w:rPr>
          <w:rFonts w:hint="eastAsia" w:ascii="仿宋_GB2312" w:eastAsia="仿宋_GB2312"/>
          <w:sz w:val="32"/>
          <w:szCs w:val="32"/>
        </w:rPr>
        <w:t>万元</w:t>
      </w:r>
      <w:r>
        <w:rPr>
          <w:rFonts w:ascii="仿宋_GB2312" w:eastAsia="仿宋_GB2312"/>
          <w:sz w:val="32"/>
          <w:szCs w:val="32"/>
        </w:rPr>
        <w:t>。</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截止2017年12月31日，木垒县规划局资产有偿使用收入合计0万元，资产处置收入合计0万元。其中：已缴国库0万元，已缴财政专户0万元，应缴未缴0万元，单位留用0万元。</w:t>
      </w:r>
    </w:p>
    <w:p>
      <w:pPr>
        <w:spacing w:line="500" w:lineRule="exact"/>
        <w:ind w:firstLine="640" w:firstLineChars="200"/>
        <w:rPr>
          <w:rFonts w:ascii="仿宋_GB2312" w:eastAsia="仿宋_GB2312"/>
          <w:sz w:val="32"/>
          <w:szCs w:val="32"/>
          <w:lang w:val="en-GB"/>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2017</w:t>
      </w:r>
      <w:r>
        <w:rPr>
          <w:rFonts w:hint="eastAsia" w:ascii="仿宋_GB2312" w:eastAsia="仿宋_GB2312" w:cs="宋体"/>
          <w:kern w:val="0"/>
          <w:sz w:val="32"/>
          <w:szCs w:val="32"/>
        </w:rPr>
        <w:t>年度，本部门单位实行绩效管理的项目</w:t>
      </w:r>
      <w:r>
        <w:rPr>
          <w:rFonts w:ascii="仿宋_GB2312" w:eastAsia="仿宋_GB2312" w:cs="宋体"/>
          <w:kern w:val="0"/>
          <w:sz w:val="32"/>
          <w:szCs w:val="32"/>
        </w:rPr>
        <w:t>1</w:t>
      </w:r>
      <w:r>
        <w:rPr>
          <w:rFonts w:hint="eastAsia" w:ascii="仿宋_GB2312" w:eastAsia="仿宋_GB2312" w:cs="宋体"/>
          <w:kern w:val="0"/>
          <w:sz w:val="32"/>
          <w:szCs w:val="32"/>
        </w:rPr>
        <w:t>个，涉及预算</w:t>
      </w:r>
      <w:r>
        <w:rPr>
          <w:rFonts w:ascii="仿宋_GB2312" w:eastAsia="仿宋_GB2312"/>
          <w:sz w:val="32"/>
          <w:szCs w:val="32"/>
        </w:rPr>
        <w:t>763.78</w:t>
      </w:r>
      <w:r>
        <w:rPr>
          <w:rFonts w:hint="eastAsia" w:ascii="仿宋_GB2312" w:eastAsia="仿宋_GB2312"/>
          <w:sz w:val="32"/>
          <w:szCs w:val="32"/>
        </w:rPr>
        <w:t>万元</w:t>
      </w:r>
      <w:r>
        <w:rPr>
          <w:rFonts w:hint="eastAsia" w:ascii="仿宋_GB2312" w:eastAsia="仿宋_GB2312" w:cs="宋体"/>
          <w:kern w:val="0"/>
          <w:sz w:val="32"/>
          <w:szCs w:val="32"/>
        </w:rPr>
        <w:t>，项目支出决算</w:t>
      </w:r>
      <w:r>
        <w:rPr>
          <w:rFonts w:ascii="仿宋_GB2312" w:eastAsia="仿宋_GB2312"/>
          <w:sz w:val="32"/>
          <w:szCs w:val="32"/>
        </w:rPr>
        <w:t>763.78</w:t>
      </w:r>
      <w:r>
        <w:rPr>
          <w:rFonts w:hint="eastAsia" w:ascii="仿宋_GB2312" w:eastAsia="仿宋_GB2312"/>
          <w:sz w:val="32"/>
          <w:szCs w:val="32"/>
        </w:rPr>
        <w:t>万元</w:t>
      </w:r>
      <w:r>
        <w:rPr>
          <w:rFonts w:hint="eastAsia" w:ascii="仿宋_GB2312" w:eastAsia="仿宋_GB2312" w:cs="宋体"/>
          <w:kern w:val="0"/>
          <w:sz w:val="32"/>
          <w:szCs w:val="32"/>
        </w:rPr>
        <w:t>。年末</w:t>
      </w:r>
      <w:r>
        <w:rPr>
          <w:rFonts w:hint="eastAsia" w:ascii="仿宋_GB2312" w:eastAsia="仿宋_GB2312"/>
          <w:sz w:val="32"/>
          <w:szCs w:val="32"/>
        </w:rPr>
        <w:t>本部门单位民生项目和重点支出项目的绩效评价开展情况及结果：</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1、木垒县规划编制</w:t>
      </w:r>
      <w:r>
        <w:rPr>
          <w:rFonts w:hint="eastAsia" w:ascii="仿宋_GB2312" w:eastAsia="仿宋_GB2312"/>
          <w:sz w:val="32"/>
          <w:szCs w:val="32"/>
        </w:rPr>
        <w:t>项目</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cs="宋体"/>
          <w:kern w:val="0"/>
          <w:sz w:val="32"/>
          <w:szCs w:val="32"/>
          <w:lang w:eastAsia="zh-CN"/>
        </w:rPr>
      </w:pPr>
      <w:r>
        <w:rPr>
          <w:rFonts w:ascii="仿宋_GB2312" w:eastAsia="仿宋_GB2312"/>
          <w:sz w:val="32"/>
          <w:szCs w:val="32"/>
        </w:rPr>
        <w:t>2120201城乡社区规划与管理</w:t>
      </w:r>
      <w:r>
        <w:rPr>
          <w:rFonts w:hint="eastAsia" w:ascii="仿宋_GB2312" w:eastAsia="仿宋_GB2312"/>
          <w:sz w:val="32"/>
          <w:szCs w:val="32"/>
        </w:rPr>
        <w:t>项目</w:t>
      </w:r>
      <w:r>
        <w:rPr>
          <w:rFonts w:ascii="仿宋_GB2312" w:eastAsia="仿宋_GB2312"/>
          <w:sz w:val="32"/>
          <w:szCs w:val="32"/>
        </w:rPr>
        <w:t>支出763.78万元，全额用于木垒县全县各项专项规划编制项目支出，这些规划编制的完成，进一步加快了我县的新型工业化发展步伐</w:t>
      </w:r>
      <w:r>
        <w:rPr>
          <w:rFonts w:hint="eastAsia" w:ascii="仿宋_GB2312" w:eastAsia="仿宋_GB2312"/>
          <w:sz w:val="32"/>
          <w:szCs w:val="32"/>
          <w:lang w:val="en-US" w:eastAsia="zh-CN"/>
        </w:rPr>
        <w:t>，</w:t>
      </w:r>
      <w:r>
        <w:rPr>
          <w:rFonts w:ascii="仿宋_GB2312" w:eastAsia="仿宋_GB2312"/>
          <w:sz w:val="32"/>
          <w:szCs w:val="32"/>
        </w:rPr>
        <w:t>促进园区按照产业结构调整化、产业布局合理化、产业发展集聚化、产业竞争力高端化的总体要求，统筹规划合理布局，规模化可持续发展</w:t>
      </w:r>
      <w:r>
        <w:rPr>
          <w:rFonts w:hint="eastAsia" w:ascii="仿宋_GB2312" w:eastAsia="仿宋_GB2312"/>
          <w:sz w:val="32"/>
          <w:szCs w:val="32"/>
          <w:lang w:val="en-US" w:eastAsia="zh-CN"/>
        </w:rPr>
        <w:t>;</w:t>
      </w:r>
      <w:r>
        <w:rPr>
          <w:rFonts w:ascii="仿宋_GB2312" w:eastAsia="仿宋_GB2312"/>
          <w:sz w:val="32"/>
          <w:szCs w:val="32"/>
        </w:rPr>
        <w:t>提高了我县的环境质量，加强生态保护与修复，不断提高生态环境管理系统化、科学化、法治化、精细化、信息化水平</w:t>
      </w:r>
      <w:r>
        <w:rPr>
          <w:rFonts w:hint="eastAsia" w:ascii="仿宋_GB2312" w:eastAsia="仿宋_GB2312"/>
          <w:sz w:val="32"/>
          <w:szCs w:val="32"/>
          <w:lang w:val="en-US" w:eastAsia="zh-CN"/>
        </w:rPr>
        <w:t>;</w:t>
      </w:r>
      <w:r>
        <w:rPr>
          <w:rFonts w:hint="eastAsia" w:ascii="仿宋_GB2312" w:eastAsia="仿宋_GB2312" w:cs="仿宋_GB2312"/>
          <w:color w:val="000000"/>
          <w:sz w:val="32"/>
          <w:szCs w:val="32"/>
        </w:rPr>
        <w:t>提升我县城市基础设施水平，有效利用城市地下空间</w:t>
      </w:r>
      <w:r>
        <w:rPr>
          <w:rFonts w:hint="eastAsia" w:ascii="仿宋_GB2312" w:eastAsia="仿宋_GB2312" w:cs="仿宋_GB2312"/>
          <w:color w:val="000000"/>
          <w:sz w:val="32"/>
          <w:szCs w:val="32"/>
          <w:lang w:val="en-US" w:eastAsia="zh-CN"/>
        </w:rPr>
        <w:t>;</w:t>
      </w:r>
      <w:r>
        <w:rPr>
          <w:rFonts w:hint="eastAsia" w:ascii="仿宋_GB2312" w:eastAsia="仿宋_GB2312" w:cs="宋体"/>
          <w:kern w:val="0"/>
          <w:sz w:val="32"/>
          <w:szCs w:val="32"/>
        </w:rPr>
        <w:t>遵循“小、组、微、生</w:t>
      </w:r>
      <w:r>
        <w:rPr>
          <w:rFonts w:hint="eastAsia" w:ascii="仿宋_GB2312" w:eastAsia="仿宋_GB2312" w:cs="??_GB2312"/>
          <w:kern w:val="0"/>
          <w:sz w:val="32"/>
          <w:szCs w:val="32"/>
        </w:rPr>
        <w:t>”</w:t>
      </w:r>
      <w:r>
        <w:rPr>
          <w:rFonts w:hint="eastAsia" w:ascii="仿宋_GB2312" w:eastAsia="仿宋_GB2312" w:cs="宋体"/>
          <w:kern w:val="0"/>
          <w:sz w:val="32"/>
          <w:szCs w:val="32"/>
        </w:rPr>
        <w:t>模式，充分结合地形和现有村落的空间形态，因地制宜，符合村庄实际和村民意愿，找准产业支撑，避免</w:t>
      </w:r>
      <w:r>
        <w:rPr>
          <w:rFonts w:hint="eastAsia" w:ascii="仿宋_GB2312" w:eastAsia="仿宋_GB2312" w:cs="??_GB2312"/>
          <w:kern w:val="0"/>
          <w:sz w:val="32"/>
          <w:szCs w:val="32"/>
        </w:rPr>
        <w:t>“</w:t>
      </w:r>
      <w:r>
        <w:rPr>
          <w:rFonts w:hint="eastAsia" w:ascii="仿宋_GB2312" w:eastAsia="仿宋_GB2312" w:cs="宋体"/>
          <w:kern w:val="0"/>
          <w:sz w:val="32"/>
          <w:szCs w:val="32"/>
        </w:rPr>
        <w:t>过度规划</w:t>
      </w:r>
      <w:r>
        <w:rPr>
          <w:rFonts w:hint="eastAsia" w:ascii="仿宋_GB2312" w:eastAsia="仿宋_GB2312" w:cs="??_GB2312"/>
          <w:kern w:val="0"/>
          <w:sz w:val="32"/>
          <w:szCs w:val="32"/>
        </w:rPr>
        <w:t>”</w:t>
      </w:r>
      <w:r>
        <w:rPr>
          <w:rFonts w:hint="eastAsia" w:ascii="仿宋_GB2312" w:eastAsia="仿宋_GB2312" w:cs="宋体"/>
          <w:kern w:val="0"/>
          <w:sz w:val="32"/>
          <w:szCs w:val="32"/>
        </w:rPr>
        <w:t>，编制完成了精品示范村（2个）</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重点培育村（8个）</w:t>
      </w:r>
      <w:r>
        <w:rPr>
          <w:rFonts w:hint="eastAsia" w:ascii="仿宋_GB2312" w:eastAsia="仿宋_GB2312" w:cs="宋体"/>
          <w:kern w:val="0"/>
          <w:sz w:val="32"/>
          <w:szCs w:val="32"/>
          <w:lang w:eastAsia="zh-CN"/>
        </w:rPr>
        <w:t>。</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其他有关说明内容：无。</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hint="eastAsia" w:ascii="仿宋_GB2312" w:eastAsia="仿宋_GB2312" w:cs="宋体"/>
          <w:kern w:val="0"/>
          <w:sz w:val="32"/>
          <w:szCs w:val="32"/>
          <w:lang w:eastAsia="zh-CN"/>
        </w:rPr>
      </w:pPr>
    </w:p>
    <w:p>
      <w:pPr>
        <w:keepNext w:val="0"/>
        <w:keepLines w:val="0"/>
        <w:pageBreakBefore w:val="0"/>
        <w:widowControl w:val="0"/>
        <w:kinsoku/>
        <w:wordWrap/>
        <w:overflowPunct/>
        <w:topLinePunct w:val="0"/>
        <w:bidi w:val="0"/>
        <w:snapToGrid/>
        <w:spacing w:line="480" w:lineRule="exact"/>
        <w:jc w:val="center"/>
        <w:textAlignment w:val="auto"/>
        <w:outlineLvl w:val="0"/>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专业名词解释</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eastAsia="仿宋_GB2312"/>
          <w:sz w:val="32"/>
          <w:szCs w:val="32"/>
          <w:lang w:val="en-GB"/>
        </w:rPr>
        <w:t>。</w:t>
      </w:r>
      <w:r>
        <w:rPr>
          <w:rFonts w:hint="eastAsia" w:ascii="仿宋_GB2312" w:eastAsia="仿宋_GB2312"/>
          <w:sz w:val="32"/>
          <w:szCs w:val="32"/>
        </w:rPr>
        <w:t>2080505</w:t>
      </w:r>
      <w:r>
        <w:rPr>
          <w:rFonts w:hint="eastAsia" w:ascii="仿宋_GB2312" w:eastAsia="仿宋_GB2312"/>
          <w:sz w:val="32"/>
          <w:szCs w:val="32"/>
          <w:lang w:eastAsia="zh-CN"/>
        </w:rPr>
        <w:t>指</w:t>
      </w:r>
      <w:r>
        <w:rPr>
          <w:rFonts w:hint="eastAsia" w:ascii="仿宋_GB2312" w:eastAsia="仿宋_GB2312"/>
          <w:sz w:val="32"/>
          <w:szCs w:val="32"/>
        </w:rPr>
        <w:t>机关事业单位基本养老保险缴费支出</w:t>
      </w:r>
      <w:r>
        <w:rPr>
          <w:rFonts w:hint="eastAsia" w:ascii="仿宋_GB2312" w:eastAsia="仿宋_GB2312"/>
          <w:sz w:val="32"/>
          <w:szCs w:val="32"/>
          <w:lang w:eastAsia="zh-CN"/>
        </w:rPr>
        <w:t>；</w:t>
      </w:r>
      <w:r>
        <w:rPr>
          <w:rFonts w:hint="eastAsia" w:ascii="仿宋_GB2312" w:eastAsia="仿宋_GB2312"/>
          <w:sz w:val="32"/>
          <w:szCs w:val="32"/>
        </w:rPr>
        <w:t>2120201</w:t>
      </w:r>
      <w:r>
        <w:rPr>
          <w:rFonts w:hint="eastAsia" w:ascii="仿宋_GB2312" w:eastAsia="仿宋_GB2312"/>
          <w:sz w:val="32"/>
          <w:szCs w:val="32"/>
          <w:lang w:eastAsia="zh-CN"/>
        </w:rPr>
        <w:t>指</w:t>
      </w:r>
      <w:r>
        <w:rPr>
          <w:rFonts w:hint="eastAsia" w:ascii="仿宋_GB2312" w:eastAsia="仿宋_GB2312"/>
          <w:sz w:val="32"/>
          <w:szCs w:val="32"/>
        </w:rPr>
        <w:t>城乡社区规划与管理</w:t>
      </w:r>
      <w:r>
        <w:rPr>
          <w:rFonts w:hint="eastAsia" w:ascii="仿宋_GB2312" w:eastAsia="仿宋_GB2312"/>
          <w:sz w:val="32"/>
          <w:szCs w:val="32"/>
          <w:lang w:eastAsia="zh-CN"/>
        </w:rPr>
        <w:t>；</w:t>
      </w:r>
      <w:r>
        <w:rPr>
          <w:rFonts w:hint="eastAsia" w:ascii="仿宋_GB2312" w:eastAsia="仿宋_GB2312"/>
          <w:sz w:val="32"/>
          <w:szCs w:val="32"/>
        </w:rPr>
        <w:t>2299901</w:t>
      </w:r>
      <w:r>
        <w:rPr>
          <w:rFonts w:hint="eastAsia" w:ascii="仿宋_GB2312" w:eastAsia="仿宋_GB2312"/>
          <w:sz w:val="32"/>
          <w:szCs w:val="32"/>
          <w:lang w:eastAsia="zh-CN"/>
        </w:rPr>
        <w:t>指</w:t>
      </w:r>
      <w:r>
        <w:rPr>
          <w:rFonts w:hint="eastAsia" w:ascii="仿宋_GB2312" w:eastAsia="仿宋_GB2312"/>
          <w:sz w:val="32"/>
          <w:szCs w:val="32"/>
        </w:rPr>
        <w:t>其他支出</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lang w:val="en-GB"/>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480" w:lineRule="exact"/>
        <w:jc w:val="center"/>
        <w:textAlignment w:val="auto"/>
        <w:outlineLvl w:val="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部门决算报表（见附表）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480" w:lineRule="exact"/>
        <w:ind w:firstLine="640" w:firstLineChars="200"/>
        <w:textAlignment w:val="auto"/>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480" w:lineRule="exact"/>
        <w:textAlignment w:val="auto"/>
      </w:pPr>
    </w:p>
    <w:sectPr>
      <w:footerReference r:id="rId3" w:type="default"/>
      <w:pgSz w:w="11906" w:h="16838"/>
      <w:pgMar w:top="1440" w:right="1800" w:bottom="1440" w:left="1800"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
    <w:altName w:val="仿宋_GB2312"/>
    <w:panose1 w:val="02010609060101010101"/>
    <w:charset w:val="86"/>
    <w:family w:val="auto"/>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3665" distR="113665" simplePos="0" relativeHeight="1024" behindDoc="0" locked="0" layoutInCell="1" allowOverlap="1">
              <wp:simplePos x="0" y="0"/>
              <wp:positionH relativeFrom="margin">
                <wp:align>center</wp:align>
              </wp:positionH>
              <wp:positionV relativeFrom="paragraph">
                <wp:posOffset>0</wp:posOffset>
              </wp:positionV>
              <wp:extent cx="57150" cy="131445"/>
              <wp:effectExtent l="0" t="0" r="0" b="0"/>
              <wp:wrapNone/>
              <wp:docPr id="1" name="矩形 1"/>
              <wp:cNvGraphicFramePr/>
              <a:graphic xmlns:a="http://schemas.openxmlformats.org/drawingml/2006/main">
                <a:graphicData uri="http://schemas.microsoft.com/office/word/2010/wordprocessingShape">
                  <wps:wsp>
                    <wps:cNvSpPr/>
                    <wps:spPr>
                      <a:xfrm>
                        <a:off x="0" y="0"/>
                        <a:ext cx="57150" cy="131559"/>
                      </a:xfrm>
                      <a:prstGeom prst="rect">
                        <a:avLst/>
                      </a:prstGeom>
                      <a:noFill/>
                      <a:ln w="6350" cap="flat" cmpd="sng">
                        <a:noFill/>
                        <a:prstDash val="solid"/>
                        <a:round/>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rect id="_x0000_s1026" o:spid="_x0000_s1026" o:spt="1" style="position:absolute;left:0pt;margin-top:0pt;height:10.35pt;width:4.5pt;mso-position-horizontal:center;mso-position-horizontal-relative:margin;mso-wrap-style:none;z-index:1024;mso-width-relative:page;mso-height-relative:page;" filled="f" stroked="f" coordsize="21600,21600" o:gfxdata="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ypi/PVAAAAAgEAAA8A&#10;AAAAAAAAAQAgAAAAIgAAAGRycy9kb3ducmV2LnhtbFBLAQIUABQAAAAIAIdO4kDTNWk94QEAAKID&#10;AAAOAAAAAAAAAAEAIAAAACQBAABkcnMvZTJvRG9jLnhtbFBLBQYAAAAABgAGAFkBAAB3BQAAAAA=&#10;">
              <v:fill on="f" focussize="0,0"/>
              <v:stroke on="f" weight="0.5pt" joinstyle="round"/>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71C08"/>
    <w:multiLevelType w:val="singleLevel"/>
    <w:tmpl w:val="3AD71C08"/>
    <w:lvl w:ilvl="0" w:tentative="0">
      <w:start w:val="1"/>
      <w:numFmt w:val="chineseCounting"/>
      <w:suff w:val="space"/>
      <w:lvlText w:val="第%1部分"/>
      <w:lvlJc w:val="left"/>
      <w:pPr>
        <w:tabs>
          <w:tab w:val="left" w:pos="0"/>
        </w:tabs>
        <w:ind w:left="0" w:firstLine="0"/>
      </w:pPr>
      <w:rPr>
        <w:rFonts w:hint="eastAsia"/>
      </w:rPr>
    </w:lvl>
  </w:abstractNum>
  <w:abstractNum w:abstractNumId="1">
    <w:nsid w:val="56570D9A"/>
    <w:multiLevelType w:val="multilevel"/>
    <w:tmpl w:val="56570D9A"/>
    <w:lvl w:ilvl="0" w:tentative="0">
      <w:start w:val="1"/>
      <w:numFmt w:val="chineseCountingThousand"/>
      <w:lvlText w:val="%1、"/>
      <w:lvlJc w:val="left"/>
      <w:pPr>
        <w:tabs>
          <w:tab w:val="left" w:pos="0"/>
        </w:tabs>
        <w:ind w:left="1280" w:hanging="640"/>
      </w:pPr>
    </w:lvl>
    <w:lvl w:ilvl="1" w:tentative="0">
      <w:start w:val="1"/>
      <w:numFmt w:val="lowerLetter"/>
      <w:lvlText w:val="%2)"/>
      <w:lvlJc w:val="left"/>
      <w:pPr>
        <w:tabs>
          <w:tab w:val="left" w:pos="0"/>
        </w:tabs>
        <w:ind w:left="1480" w:hanging="420"/>
      </w:pPr>
    </w:lvl>
    <w:lvl w:ilvl="2" w:tentative="0">
      <w:start w:val="1"/>
      <w:numFmt w:val="lowerRoman"/>
      <w:lvlText w:val="%3."/>
      <w:lvlJc w:val="right"/>
      <w:pPr>
        <w:tabs>
          <w:tab w:val="left" w:pos="0"/>
        </w:tabs>
        <w:ind w:left="1900" w:hanging="420"/>
      </w:pPr>
    </w:lvl>
    <w:lvl w:ilvl="3" w:tentative="0">
      <w:start w:val="1"/>
      <w:numFmt w:val="decimal"/>
      <w:lvlText w:val="%4."/>
      <w:lvlJc w:val="left"/>
      <w:pPr>
        <w:tabs>
          <w:tab w:val="left" w:pos="0"/>
        </w:tabs>
        <w:ind w:left="2320" w:hanging="420"/>
      </w:pPr>
    </w:lvl>
    <w:lvl w:ilvl="4" w:tentative="0">
      <w:start w:val="1"/>
      <w:numFmt w:val="lowerLetter"/>
      <w:lvlText w:val="%5)"/>
      <w:lvlJc w:val="left"/>
      <w:pPr>
        <w:tabs>
          <w:tab w:val="left" w:pos="0"/>
        </w:tabs>
        <w:ind w:left="2740" w:hanging="420"/>
      </w:pPr>
    </w:lvl>
    <w:lvl w:ilvl="5" w:tentative="0">
      <w:start w:val="1"/>
      <w:numFmt w:val="lowerRoman"/>
      <w:lvlText w:val="%6."/>
      <w:lvlJc w:val="right"/>
      <w:pPr>
        <w:tabs>
          <w:tab w:val="left" w:pos="0"/>
        </w:tabs>
        <w:ind w:left="3160" w:hanging="420"/>
      </w:pPr>
    </w:lvl>
    <w:lvl w:ilvl="6" w:tentative="0">
      <w:start w:val="1"/>
      <w:numFmt w:val="decimal"/>
      <w:lvlText w:val="%7."/>
      <w:lvlJc w:val="left"/>
      <w:pPr>
        <w:tabs>
          <w:tab w:val="left" w:pos="0"/>
        </w:tabs>
        <w:ind w:left="3580" w:hanging="420"/>
      </w:pPr>
    </w:lvl>
    <w:lvl w:ilvl="7" w:tentative="0">
      <w:start w:val="1"/>
      <w:numFmt w:val="lowerLetter"/>
      <w:lvlText w:val="%8)"/>
      <w:lvlJc w:val="left"/>
      <w:pPr>
        <w:tabs>
          <w:tab w:val="left" w:pos="0"/>
        </w:tabs>
        <w:ind w:left="4000" w:hanging="420"/>
      </w:pPr>
    </w:lvl>
    <w:lvl w:ilvl="8" w:tentative="0">
      <w:start w:val="1"/>
      <w:numFmt w:val="lowerRoman"/>
      <w:lvlText w:val="%9."/>
      <w:lvlJc w:val="right"/>
      <w:pPr>
        <w:tabs>
          <w:tab w:val="left" w:pos="0"/>
        </w:tabs>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FELayout/>
    <w:doNotUseIndentAsNumberingTabStop/>
    <w:useAltKinsokuLineBreakRules/>
    <w:splitPgBreakAndParaMark/>
    <w:compatSetting w:name="compatibilityMode" w:uri="http://schemas.microsoft.com/office/word" w:val="14"/>
  </w:compat>
  <w:rsids>
    <w:rsidRoot w:val="00000000"/>
    <w:rsid w:val="3C7332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4">
    <w:name w:val="toc 2"/>
    <w:basedOn w:val="1"/>
    <w:next w:val="1"/>
    <w:uiPriority w:val="0"/>
    <w:pPr>
      <w:ind w:left="420"/>
    </w:pPr>
  </w:style>
  <w:style w:type="paragraph" w:styleId="5">
    <w:name w:val="Normal (Web)"/>
    <w:uiPriority w:val="0"/>
    <w:pPr>
      <w:widowControl/>
      <w:spacing w:before="100" w:beforeAutospacing="1" w:after="100" w:afterAutospacing="1"/>
      <w:jc w:val="left"/>
    </w:pPr>
    <w:rPr>
      <w:rFonts w:ascii="宋体" w:hAnsi="Times New Roman" w:eastAsia="宋体" w:cs="宋体"/>
      <w:kern w:val="0"/>
      <w:sz w:val="24"/>
      <w:szCs w:val="24"/>
      <w:lang w:val="en-US" w:eastAsia="zh-CN" w:bidi="ar-SA"/>
    </w:rPr>
  </w:style>
  <w:style w:type="character" w:customStyle="1" w:styleId="8">
    <w:name w:val="apple-converted-space"/>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13</Pages>
  <Words>6012</Words>
  <Characters>6561</Characters>
  <Lines>374</Lines>
  <Paragraphs>190</Paragraphs>
  <TotalTime>173</TotalTime>
  <ScaleCrop>false</ScaleCrop>
  <LinksUpToDate>false</LinksUpToDate>
  <CharactersWithSpaces>6610</CharactersWithSpaces>
  <Application>WPS Office_10.1.0.7565_F1E327BC-269C-435d-A152-05C5408002CA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2018-12-20T02:45:00Z</cp:lastPrinted>
  <dcterms:modified xsi:type="dcterms:W3CDTF">2018-12-20T12:24:43Z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