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木垒县计生</w:t>
      </w: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指导站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201</w:t>
      </w: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6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年部门预算及</w:t>
      </w:r>
    </w:p>
    <w:p>
      <w:pPr>
        <w:spacing w:line="540" w:lineRule="exact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“三公“经费信息公开报告</w:t>
      </w:r>
    </w:p>
    <w:p>
      <w:pPr>
        <w:spacing w:line="540" w:lineRule="exact"/>
        <w:jc w:val="center"/>
        <w:rPr>
          <w:rFonts w:ascii="仿宋_GB2312" w:hAnsi="宋体" w:eastAsia="仿宋_GB2312" w:cs="宋体"/>
          <w:color w:val="000000"/>
          <w:sz w:val="36"/>
          <w:szCs w:val="36"/>
        </w:rPr>
      </w:pPr>
    </w:p>
    <w:p>
      <w:pPr>
        <w:spacing w:line="480" w:lineRule="exact"/>
        <w:rPr>
          <w:rFonts w:ascii="仿宋" w:hAnsi="仿宋" w:eastAsia="仿宋" w:cs="宋体"/>
          <w:color w:val="000000"/>
          <w:sz w:val="36"/>
          <w:szCs w:val="36"/>
        </w:rPr>
      </w:pPr>
      <w:r>
        <w:rPr>
          <w:rFonts w:hint="eastAsia" w:ascii="仿宋" w:hAnsi="仿宋" w:eastAsia="仿宋" w:cs="宋体"/>
          <w:color w:val="000000"/>
          <w:sz w:val="36"/>
          <w:szCs w:val="36"/>
        </w:rPr>
        <w:t xml:space="preserve">    根据自治县财政局《关于进一步做好自治州预决算信息公开工作的通知》（木财预【2016】2号）有关规定，现将木垒县计生指导站2016年部门预算及“三公“经费信息公开如下：</w:t>
      </w:r>
    </w:p>
    <w:p>
      <w:pPr>
        <w:spacing w:line="480" w:lineRule="exact"/>
        <w:ind w:firstLine="540" w:firstLineChars="150"/>
        <w:rPr>
          <w:rFonts w:ascii="仿宋" w:hAnsi="仿宋" w:eastAsia="仿宋" w:cs="宋体"/>
          <w:color w:val="000000"/>
          <w:sz w:val="36"/>
          <w:szCs w:val="36"/>
        </w:rPr>
      </w:pPr>
      <w:r>
        <w:rPr>
          <w:rFonts w:hint="eastAsia" w:ascii="仿宋" w:hAnsi="仿宋" w:eastAsia="仿宋" w:cs="宋体"/>
          <w:color w:val="000000"/>
          <w:sz w:val="36"/>
          <w:szCs w:val="36"/>
        </w:rPr>
        <w:t xml:space="preserve"> 一、计生指导站基本情况</w:t>
      </w:r>
    </w:p>
    <w:p>
      <w:pPr>
        <w:spacing w:line="480" w:lineRule="exact"/>
        <w:ind w:firstLine="542" w:firstLineChars="150"/>
        <w:rPr>
          <w:rFonts w:ascii="仿宋" w:hAnsi="仿宋" w:eastAsia="仿宋" w:cs="宋体"/>
          <w:b/>
          <w:color w:val="000000"/>
          <w:sz w:val="36"/>
          <w:szCs w:val="36"/>
        </w:rPr>
      </w:pPr>
      <w:r>
        <w:rPr>
          <w:rFonts w:hint="eastAsia" w:ascii="仿宋" w:hAnsi="仿宋" w:eastAsia="仿宋" w:cs="宋体"/>
          <w:b/>
          <w:color w:val="000000"/>
          <w:sz w:val="36"/>
          <w:szCs w:val="36"/>
        </w:rPr>
        <w:t xml:space="preserve"> (一)主要职能</w:t>
      </w:r>
    </w:p>
    <w:p>
      <w:pPr>
        <w:spacing w:line="480" w:lineRule="exact"/>
        <w:rPr>
          <w:rFonts w:ascii="仿宋" w:hAnsi="仿宋" w:eastAsia="仿宋" w:cs="宋体"/>
          <w:color w:val="000000"/>
          <w:sz w:val="36"/>
          <w:szCs w:val="36"/>
        </w:rPr>
      </w:pPr>
      <w:r>
        <w:rPr>
          <w:rFonts w:hint="eastAsia" w:ascii="仿宋" w:hAnsi="仿宋" w:eastAsia="仿宋" w:cs="宋体"/>
          <w:color w:val="000000"/>
          <w:sz w:val="36"/>
          <w:szCs w:val="36"/>
        </w:rPr>
        <w:t xml:space="preserve">    </w:t>
      </w:r>
      <w:r>
        <w:rPr>
          <w:rFonts w:ascii="仿宋" w:hAnsi="仿宋" w:eastAsia="仿宋"/>
          <w:color w:val="000000"/>
          <w:sz w:val="36"/>
          <w:szCs w:val="36"/>
        </w:rPr>
        <w:t>贯彻执行国家和自治区关于人口和计划生育</w:t>
      </w:r>
      <w:r>
        <w:rPr>
          <w:rFonts w:hint="eastAsia" w:ascii="仿宋" w:hAnsi="仿宋" w:eastAsia="仿宋"/>
          <w:color w:val="000000"/>
          <w:sz w:val="36"/>
          <w:szCs w:val="36"/>
        </w:rPr>
        <w:t>基本国策，为计划生育</w:t>
      </w:r>
      <w:r>
        <w:rPr>
          <w:rFonts w:ascii="仿宋" w:hAnsi="仿宋" w:eastAsia="仿宋"/>
          <w:color w:val="000000"/>
          <w:sz w:val="36"/>
          <w:szCs w:val="36"/>
        </w:rPr>
        <w:t>工作</w:t>
      </w:r>
      <w:r>
        <w:rPr>
          <w:rFonts w:hint="eastAsia" w:ascii="仿宋" w:hAnsi="仿宋" w:eastAsia="仿宋"/>
          <w:color w:val="000000"/>
          <w:sz w:val="36"/>
          <w:szCs w:val="36"/>
        </w:rPr>
        <w:t>提供宣传、技术指导和服务，宣传教育计划生育技术服务、避孕药具管理发放、计划生育人员培训等工作。</w:t>
      </w:r>
    </w:p>
    <w:p>
      <w:pPr>
        <w:spacing w:line="480" w:lineRule="exact"/>
        <w:rPr>
          <w:rFonts w:ascii="仿宋" w:hAnsi="仿宋" w:eastAsia="仿宋" w:cs="宋体"/>
          <w:b/>
          <w:color w:val="000000"/>
          <w:sz w:val="36"/>
          <w:szCs w:val="36"/>
        </w:rPr>
      </w:pPr>
      <w:r>
        <w:rPr>
          <w:rFonts w:hint="eastAsia" w:ascii="仿宋" w:hAnsi="仿宋" w:eastAsia="仿宋" w:cs="宋体"/>
          <w:b/>
          <w:color w:val="000000"/>
          <w:sz w:val="36"/>
          <w:szCs w:val="36"/>
        </w:rPr>
        <w:t xml:space="preserve">     (二)人员编制</w:t>
      </w:r>
    </w:p>
    <w:p>
      <w:pPr>
        <w:spacing w:line="480" w:lineRule="exact"/>
        <w:ind w:firstLine="180" w:firstLineChars="50"/>
        <w:rPr>
          <w:rFonts w:ascii="仿宋" w:hAnsi="仿宋" w:eastAsia="仿宋" w:cs="宋体"/>
          <w:color w:val="000000"/>
          <w:sz w:val="36"/>
          <w:szCs w:val="36"/>
        </w:rPr>
      </w:pPr>
      <w:r>
        <w:rPr>
          <w:rFonts w:hint="eastAsia" w:ascii="仿宋" w:hAnsi="仿宋" w:eastAsia="仿宋" w:cs="宋体"/>
          <w:color w:val="000000"/>
          <w:sz w:val="36"/>
          <w:szCs w:val="36"/>
        </w:rPr>
        <w:t xml:space="preserve">   人员编制14人，实有12人。</w:t>
      </w:r>
    </w:p>
    <w:p>
      <w:pPr>
        <w:spacing w:line="480" w:lineRule="exact"/>
        <w:ind w:firstLine="320" w:firstLineChars="100"/>
        <w:rPr>
          <w:rFonts w:hint="eastAsia" w:ascii="黑体" w:hAnsi="宋体" w:eastAsia="黑体"/>
          <w:sz w:val="32"/>
          <w:szCs w:val="32"/>
        </w:rPr>
      </w:pPr>
    </w:p>
    <w:p>
      <w:pPr>
        <w:spacing w:line="480" w:lineRule="exact"/>
        <w:ind w:firstLine="320" w:firstLineChars="100"/>
        <w:rPr>
          <w:rFonts w:hint="eastAsia" w:ascii="黑体" w:hAnsi="宋体" w:eastAsia="黑体"/>
          <w:sz w:val="32"/>
          <w:szCs w:val="32"/>
        </w:rPr>
      </w:pPr>
    </w:p>
    <w:p>
      <w:pPr>
        <w:spacing w:line="480" w:lineRule="exact"/>
        <w:ind w:firstLine="320" w:firstLineChars="100"/>
        <w:rPr>
          <w:rFonts w:hint="eastAsia" w:ascii="黑体" w:hAnsi="宋体" w:eastAsia="黑体"/>
          <w:sz w:val="32"/>
          <w:szCs w:val="32"/>
        </w:rPr>
      </w:pPr>
    </w:p>
    <w:p>
      <w:pPr>
        <w:spacing w:line="480" w:lineRule="exact"/>
        <w:ind w:firstLine="320" w:firstLineChars="100"/>
        <w:rPr>
          <w:rFonts w:hint="eastAsia" w:ascii="黑体" w:hAnsi="宋体" w:eastAsia="黑体"/>
          <w:sz w:val="32"/>
          <w:szCs w:val="32"/>
        </w:rPr>
      </w:pPr>
    </w:p>
    <w:p>
      <w:pPr>
        <w:spacing w:line="480" w:lineRule="exact"/>
        <w:ind w:firstLine="320" w:firstLineChars="100"/>
        <w:rPr>
          <w:rFonts w:hint="eastAsia" w:ascii="黑体" w:hAnsi="宋体" w:eastAsia="黑体"/>
          <w:sz w:val="32"/>
          <w:szCs w:val="32"/>
        </w:rPr>
      </w:pPr>
    </w:p>
    <w:p>
      <w:pPr>
        <w:spacing w:line="480" w:lineRule="exact"/>
        <w:ind w:firstLine="320" w:firstLineChars="100"/>
        <w:rPr>
          <w:rFonts w:hint="eastAsia" w:ascii="黑体" w:hAnsi="宋体" w:eastAsia="黑体"/>
          <w:sz w:val="32"/>
          <w:szCs w:val="32"/>
        </w:rPr>
      </w:pPr>
    </w:p>
    <w:p>
      <w:pPr>
        <w:spacing w:line="480" w:lineRule="exact"/>
        <w:ind w:firstLine="320" w:firstLineChars="100"/>
        <w:rPr>
          <w:rFonts w:hint="eastAsia" w:ascii="黑体" w:hAnsi="宋体" w:eastAsia="黑体"/>
          <w:sz w:val="32"/>
          <w:szCs w:val="32"/>
        </w:rPr>
      </w:pPr>
    </w:p>
    <w:p>
      <w:pPr>
        <w:spacing w:line="480" w:lineRule="exact"/>
        <w:ind w:firstLine="320" w:firstLineChars="100"/>
        <w:rPr>
          <w:rFonts w:ascii="黑体" w:hAnsi="黑体" w:eastAsia="黑体" w:cs="宋体"/>
          <w:b/>
          <w:color w:val="000000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二、2016年部门预算公开</w:t>
      </w:r>
    </w:p>
    <w:p>
      <w:pPr>
        <w:spacing w:line="360" w:lineRule="auto"/>
        <w:ind w:firstLine="630" w:firstLineChars="196"/>
        <w:rPr>
          <w:rFonts w:hint="eastAsia" w:ascii="仿宋_GB2312" w:eastAsia="仿宋_GB2312" w:cs="Tahoma"/>
          <w:b/>
          <w:sz w:val="32"/>
          <w:szCs w:val="32"/>
        </w:rPr>
      </w:pPr>
      <w:r>
        <w:rPr>
          <w:rFonts w:hint="eastAsia" w:ascii="仿宋_GB2312" w:eastAsia="仿宋_GB2312" w:cs="Tahoma"/>
          <w:b/>
          <w:sz w:val="32"/>
          <w:szCs w:val="32"/>
        </w:rPr>
        <w:t>（一）收支总体情况</w:t>
      </w:r>
    </w:p>
    <w:p>
      <w:pPr>
        <w:ind w:left="465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根据自治州财政局《关于下达昌吉州本级预算单位2016年部门预算的通知》（昌州财预〔2016〕1号）</w:t>
      </w:r>
    </w:p>
    <w:p>
      <w:pPr>
        <w:spacing w:line="480" w:lineRule="exact"/>
        <w:ind w:firstLine="321" w:firstLineChars="100"/>
        <w:rPr>
          <w:rFonts w:ascii="黑体" w:hAnsi="黑体" w:eastAsia="黑体" w:cs="宋体"/>
          <w:b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b/>
          <w:color w:val="000000"/>
          <w:sz w:val="32"/>
          <w:szCs w:val="32"/>
        </w:rPr>
        <w:t>二、2016年度收支预算总体情况</w:t>
      </w:r>
    </w:p>
    <w:p>
      <w:pPr>
        <w:spacing w:line="480" w:lineRule="exact"/>
        <w:ind w:firstLine="900" w:firstLineChars="250"/>
        <w:rPr>
          <w:rFonts w:hint="eastAsia" w:ascii="仿宋" w:hAnsi="仿宋" w:eastAsia="仿宋" w:cs="宋体"/>
          <w:color w:val="000000"/>
          <w:sz w:val="36"/>
          <w:szCs w:val="36"/>
        </w:rPr>
      </w:pPr>
      <w:r>
        <w:rPr>
          <w:rFonts w:hint="eastAsia" w:ascii="仿宋" w:hAnsi="仿宋" w:eastAsia="仿宋" w:cs="宋体"/>
          <w:color w:val="000000"/>
          <w:sz w:val="36"/>
          <w:szCs w:val="36"/>
        </w:rPr>
        <w:t>2016年度财政预算拨款1186765元，</w:t>
      </w:r>
      <w:r>
        <w:rPr>
          <w:rFonts w:hint="eastAsia" w:ascii="仿宋" w:hAnsi="仿宋" w:eastAsia="仿宋"/>
          <w:sz w:val="36"/>
          <w:szCs w:val="36"/>
        </w:rPr>
        <w:t>按照收支平衡的原则</w:t>
      </w:r>
      <w:r>
        <w:rPr>
          <w:rFonts w:hint="eastAsia" w:ascii="仿宋" w:hAnsi="仿宋" w:eastAsia="仿宋" w:cs="宋体"/>
          <w:color w:val="000000"/>
          <w:sz w:val="36"/>
          <w:szCs w:val="36"/>
        </w:rPr>
        <w:t>支出1186765元，其中：用于</w:t>
      </w:r>
      <w:r>
        <w:rPr>
          <w:rFonts w:hint="eastAsia" w:ascii="仿宋" w:hAnsi="仿宋" w:eastAsia="仿宋" w:cs="宋体"/>
          <w:sz w:val="36"/>
          <w:szCs w:val="36"/>
        </w:rPr>
        <w:t>工资福利支出</w:t>
      </w:r>
      <w:r>
        <w:rPr>
          <w:rFonts w:hint="eastAsia" w:ascii="仿宋" w:hAnsi="仿宋" w:eastAsia="仿宋" w:cs="宋体"/>
          <w:color w:val="000000"/>
          <w:sz w:val="36"/>
          <w:szCs w:val="36"/>
        </w:rPr>
        <w:t>1011290元、</w:t>
      </w:r>
      <w:r>
        <w:rPr>
          <w:rFonts w:hint="eastAsia" w:ascii="仿宋" w:hAnsi="仿宋" w:eastAsia="仿宋" w:cs="宋体"/>
          <w:sz w:val="36"/>
          <w:szCs w:val="36"/>
        </w:rPr>
        <w:t>商品和服务支出元</w:t>
      </w:r>
      <w:r>
        <w:rPr>
          <w:rFonts w:hint="eastAsia" w:ascii="仿宋" w:hAnsi="仿宋" w:eastAsia="仿宋" w:cs="宋体"/>
          <w:color w:val="000000"/>
          <w:sz w:val="36"/>
          <w:szCs w:val="36"/>
        </w:rPr>
        <w:t>、</w:t>
      </w:r>
      <w:r>
        <w:rPr>
          <w:rFonts w:hint="eastAsia" w:ascii="仿宋" w:hAnsi="仿宋" w:eastAsia="仿宋" w:cs="宋体"/>
          <w:sz w:val="36"/>
          <w:szCs w:val="36"/>
        </w:rPr>
        <w:t>对个人和家庭补助支出95675元</w:t>
      </w:r>
      <w:r>
        <w:rPr>
          <w:rFonts w:hint="eastAsia" w:ascii="仿宋" w:hAnsi="仿宋" w:eastAsia="仿宋" w:cs="宋体"/>
          <w:color w:val="000000"/>
          <w:sz w:val="36"/>
          <w:szCs w:val="36"/>
        </w:rPr>
        <w:t>。</w:t>
      </w:r>
    </w:p>
    <w:p>
      <w:pPr>
        <w:spacing w:line="360" w:lineRule="auto"/>
        <w:ind w:firstLine="630" w:firstLineChars="196"/>
        <w:rPr>
          <w:rFonts w:hint="eastAsia" w:ascii="仿宋_GB2312" w:eastAsia="仿宋_GB2312" w:cs="Tahoma"/>
          <w:b/>
          <w:sz w:val="32"/>
          <w:szCs w:val="32"/>
        </w:rPr>
      </w:pPr>
      <w:r>
        <w:rPr>
          <w:rFonts w:hint="eastAsia" w:ascii="仿宋_GB2312" w:eastAsia="仿宋_GB2312" w:cs="Tahoma"/>
          <w:b/>
          <w:sz w:val="32"/>
          <w:szCs w:val="32"/>
        </w:rPr>
        <w:t>（二）预算支出主要内容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妇幼保健院基本支出预算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1186765</w:t>
      </w:r>
      <w:r>
        <w:rPr>
          <w:rFonts w:hint="eastAsia" w:ascii="仿宋_GB2312" w:hAnsi="宋体" w:eastAsia="仿宋_GB2312"/>
          <w:sz w:val="32"/>
          <w:szCs w:val="32"/>
        </w:rPr>
        <w:t>元，包括：工资福利支出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1011290</w:t>
      </w:r>
      <w:r>
        <w:rPr>
          <w:rFonts w:hint="eastAsia" w:ascii="仿宋_GB2312" w:hAnsi="宋体" w:eastAsia="仿宋_GB2312"/>
          <w:sz w:val="32"/>
          <w:szCs w:val="32"/>
        </w:rPr>
        <w:t>元，商品和服务支出</w:t>
      </w:r>
      <w:r>
        <w:rPr>
          <w:rFonts w:hint="eastAsia" w:ascii="仿宋" w:hAnsi="仿宋" w:eastAsia="仿宋" w:cs="宋体"/>
          <w:sz w:val="32"/>
          <w:szCs w:val="32"/>
        </w:rPr>
        <w:t>79800</w:t>
      </w:r>
      <w:r>
        <w:rPr>
          <w:rFonts w:hint="eastAsia" w:ascii="仿宋_GB2312" w:hAnsi="宋体" w:eastAsia="仿宋_GB2312"/>
          <w:sz w:val="32"/>
          <w:szCs w:val="32"/>
        </w:rPr>
        <w:t>元、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对个人和家庭补助支出</w:t>
      </w:r>
      <w:r>
        <w:rPr>
          <w:rFonts w:hint="eastAsia" w:ascii="仿宋" w:hAnsi="仿宋" w:eastAsia="仿宋" w:cs="宋体"/>
          <w:sz w:val="32"/>
          <w:szCs w:val="32"/>
        </w:rPr>
        <w:t>95675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元</w:t>
      </w:r>
      <w:r>
        <w:rPr>
          <w:rFonts w:hint="eastAsia" w:ascii="仿宋_GB2312" w:hAnsi="宋体" w:eastAsia="仿宋_GB2312"/>
          <w:sz w:val="32"/>
          <w:szCs w:val="32"/>
        </w:rPr>
        <w:t>。项目支出预算0万元，包括：无。</w:t>
      </w:r>
    </w:p>
    <w:p>
      <w:pPr>
        <w:spacing w:line="360" w:lineRule="auto"/>
        <w:ind w:firstLine="630" w:firstLineChars="196"/>
        <w:rPr>
          <w:rFonts w:hint="eastAsia" w:ascii="仿宋_GB2312" w:eastAsia="仿宋_GB2312" w:cs="Tahoma"/>
          <w:b/>
          <w:sz w:val="32"/>
          <w:szCs w:val="32"/>
        </w:rPr>
      </w:pPr>
      <w:r>
        <w:rPr>
          <w:rFonts w:hint="eastAsia" w:ascii="仿宋_GB2312" w:eastAsia="仿宋_GB2312" w:cs="Tahoma"/>
          <w:b/>
          <w:sz w:val="32"/>
          <w:szCs w:val="32"/>
        </w:rPr>
        <w:t>（三）2016年计生指导站收支预算公开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详见附表【1】、【2】、【3】。</w:t>
      </w:r>
    </w:p>
    <w:p>
      <w:pPr>
        <w:spacing w:line="360" w:lineRule="auto"/>
        <w:ind w:firstLine="630" w:firstLineChars="196"/>
        <w:rPr>
          <w:rFonts w:hint="eastAsia" w:ascii="仿宋_GB2312" w:eastAsia="仿宋_GB2312" w:cs="Tahoma"/>
          <w:b/>
          <w:sz w:val="32"/>
          <w:szCs w:val="32"/>
        </w:rPr>
      </w:pPr>
      <w:r>
        <w:rPr>
          <w:rFonts w:hint="eastAsia" w:ascii="仿宋_GB2312" w:eastAsia="仿宋_GB2312" w:cs="Tahoma"/>
          <w:b/>
          <w:sz w:val="32"/>
          <w:szCs w:val="32"/>
        </w:rPr>
        <w:t>（四）2016年计生指导站财政拨款支出预算公开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1、基本支出预算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明细到“项”，详见附表【3-3-1】、【3-3-2】、【3-4-1】、【3-4-2】、【3-5-1】、【3-5-2】、【3-6-1】、【3-6-2】。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2、项目支出预算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明细到“项”，详见附表【3-7-1】、【3-7-2】。</w:t>
      </w:r>
    </w:p>
    <w:p>
      <w:pPr>
        <w:spacing w:line="360" w:lineRule="auto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三、2016年“三公”经费支出预算</w:t>
      </w:r>
    </w:p>
    <w:p>
      <w:pPr>
        <w:spacing w:line="360" w:lineRule="auto"/>
        <w:ind w:firstLine="627" w:firstLineChars="196"/>
        <w:rPr>
          <w:rFonts w:hint="eastAsia" w:ascii="仿宋_GB2312" w:eastAsia="仿宋_GB2312" w:cs="Tahoma"/>
          <w:sz w:val="32"/>
          <w:szCs w:val="32"/>
        </w:rPr>
      </w:pPr>
      <w:r>
        <w:rPr>
          <w:rFonts w:hint="eastAsia" w:ascii="仿宋_GB2312" w:eastAsia="仿宋_GB2312" w:cs="Tahoma"/>
          <w:sz w:val="32"/>
          <w:szCs w:val="32"/>
        </w:rPr>
        <w:t>2016年计生指导站“三公”经费预算安排总额为1万元，比2015年预算安排减少0万元（详见附表【4】），减少的主要原因是</w:t>
      </w:r>
      <w:r>
        <w:rPr>
          <w:rFonts w:hint="eastAsia" w:ascii="仿宋_GB2312" w:hAnsi="宋体" w:eastAsia="仿宋_GB2312"/>
          <w:sz w:val="32"/>
          <w:szCs w:val="32"/>
        </w:rPr>
        <w:t>无增减。</w:t>
      </w:r>
    </w:p>
    <w:p>
      <w:pPr>
        <w:spacing w:line="360" w:lineRule="auto"/>
        <w:ind w:firstLine="630" w:firstLineChars="196"/>
        <w:rPr>
          <w:rFonts w:hint="eastAsia" w:ascii="仿宋_GB2312" w:eastAsia="仿宋_GB2312" w:cs="Tahoma"/>
          <w:b/>
          <w:sz w:val="32"/>
          <w:szCs w:val="32"/>
        </w:rPr>
      </w:pPr>
      <w:r>
        <w:rPr>
          <w:rFonts w:hint="eastAsia" w:ascii="仿宋_GB2312" w:eastAsia="仿宋_GB2312" w:cs="Tahoma"/>
          <w:b/>
          <w:sz w:val="32"/>
          <w:szCs w:val="32"/>
        </w:rPr>
        <w:t>（一）因公出国（境）经费预算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因公出国（境）经费预算项目支出没有安排，主要原因是我单位严格执行中央八项规定和自治区十条规定，压减因公出国（境）经费。</w:t>
      </w:r>
    </w:p>
    <w:p>
      <w:pPr>
        <w:spacing w:line="360" w:lineRule="auto"/>
        <w:ind w:firstLine="630" w:firstLineChars="196"/>
        <w:rPr>
          <w:rFonts w:hint="eastAsia" w:ascii="仿宋_GB2312" w:eastAsia="仿宋_GB2312" w:cs="Tahoma"/>
          <w:b/>
          <w:sz w:val="32"/>
          <w:szCs w:val="32"/>
        </w:rPr>
      </w:pPr>
      <w:r>
        <w:rPr>
          <w:rFonts w:hint="eastAsia" w:ascii="仿宋_GB2312" w:eastAsia="仿宋_GB2312" w:cs="Tahoma"/>
          <w:b/>
          <w:sz w:val="32"/>
          <w:szCs w:val="32"/>
        </w:rPr>
        <w:t>（二）公务接待费预算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公务接待费预算安排2000元，比2015年预算安排减少0元。主要用于：上级检查人员接待。2016年预计接待批次3批，接待人数36人。公务接待费减少的主要原因是无增减。</w:t>
      </w:r>
    </w:p>
    <w:p>
      <w:pPr>
        <w:spacing w:line="360" w:lineRule="auto"/>
        <w:ind w:firstLine="630" w:firstLineChars="196"/>
        <w:rPr>
          <w:rFonts w:hint="eastAsia" w:ascii="仿宋_GB2312" w:eastAsia="仿宋_GB2312" w:cs="Tahoma"/>
          <w:b/>
          <w:sz w:val="32"/>
          <w:szCs w:val="32"/>
        </w:rPr>
      </w:pPr>
      <w:r>
        <w:rPr>
          <w:rFonts w:hint="eastAsia" w:ascii="仿宋_GB2312" w:eastAsia="仿宋_GB2312" w:cs="Tahoma"/>
          <w:b/>
          <w:sz w:val="32"/>
          <w:szCs w:val="32"/>
        </w:rPr>
        <w:t>（三）公务用车购置及运行维护费预算</w:t>
      </w:r>
    </w:p>
    <w:p>
      <w:pPr>
        <w:spacing w:line="360" w:lineRule="auto"/>
        <w:ind w:firstLine="627" w:firstLineChars="19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公务用车购置及运行维护费预算安排0元，比2015年预算安排减少0元。主要用于无。未安排公务用车购置费。</w:t>
      </w:r>
    </w:p>
    <w:p>
      <w:pPr>
        <w:spacing w:line="360" w:lineRule="auto"/>
        <w:ind w:firstLine="627" w:firstLineChars="19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妇幼保健院一般公务用车实有数1辆，本年度安排公务用车运行维护费8000元。增减原因是:无。</w:t>
      </w:r>
    </w:p>
    <w:p>
      <w:pPr>
        <w:spacing w:line="360" w:lineRule="auto"/>
        <w:ind w:firstLine="627" w:firstLineChars="196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四、其他需要说明的事项</w:t>
      </w:r>
    </w:p>
    <w:p>
      <w:pPr>
        <w:spacing w:line="580" w:lineRule="exact"/>
        <w:ind w:firstLine="642"/>
        <w:rPr>
          <w:rFonts w:ascii="仿宋_GB2312" w:eastAsia="仿宋_GB2312" w:cs="Tahoma"/>
          <w:b/>
          <w:sz w:val="32"/>
          <w:szCs w:val="32"/>
        </w:rPr>
      </w:pPr>
      <w:r>
        <w:rPr>
          <w:rFonts w:hint="eastAsia" w:ascii="仿宋_GB2312" w:eastAsia="仿宋_GB2312" w:cs="Tahoma"/>
          <w:b/>
          <w:sz w:val="32"/>
          <w:szCs w:val="32"/>
        </w:rPr>
        <w:t>（一）公用经费情况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2017年，本单位公用经费财政拨款预算0万元，比上年预算数增加0元，增长（下降） 0 %。主要原因是   ：预算无安排</w:t>
      </w:r>
    </w:p>
    <w:p>
      <w:pPr>
        <w:spacing w:line="580" w:lineRule="exact"/>
        <w:ind w:firstLine="642"/>
        <w:rPr>
          <w:rFonts w:ascii="仿宋_GB2312" w:eastAsia="仿宋_GB2312" w:cs="Tahoma"/>
          <w:b/>
          <w:sz w:val="32"/>
          <w:szCs w:val="32"/>
        </w:rPr>
      </w:pPr>
      <w:r>
        <w:rPr>
          <w:rFonts w:hint="eastAsia" w:ascii="仿宋_GB2312" w:eastAsia="仿宋_GB2312" w:cs="Tahoma"/>
          <w:b/>
          <w:sz w:val="32"/>
          <w:szCs w:val="32"/>
        </w:rPr>
        <w:t>（二）政府采购情况</w:t>
      </w:r>
    </w:p>
    <w:p>
      <w:pPr>
        <w:spacing w:line="580" w:lineRule="exact"/>
        <w:ind w:firstLine="64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2017年，本单位单位政府采购预算  0 万元，其中：政府采购货物预算  0   万元，政府采购工程预算   0  万元，政府采购服务预算   0    万元。</w:t>
      </w:r>
    </w:p>
    <w:p>
      <w:pPr>
        <w:spacing w:line="580" w:lineRule="exact"/>
        <w:ind w:firstLine="642"/>
        <w:rPr>
          <w:rFonts w:ascii="仿宋_GB2312" w:eastAsia="仿宋_GB2312" w:cs="Tahoma"/>
          <w:b/>
          <w:sz w:val="32"/>
          <w:szCs w:val="32"/>
        </w:rPr>
      </w:pPr>
      <w:r>
        <w:rPr>
          <w:rFonts w:hint="eastAsia" w:ascii="仿宋_GB2312" w:eastAsia="仿宋_GB2312" w:cs="Tahoma"/>
          <w:b/>
          <w:sz w:val="32"/>
          <w:szCs w:val="32"/>
        </w:rPr>
        <w:t>（三）国有资产占用使用情况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截至2016年底，妇幼保健院占用使用国有资产总体情况为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1.房屋   0 平方米，价值0万元。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2.车辆  1 辆，价值 16 万元；其中：一般公务用车1辆，价值24万元；执法执勤用车 0  辆，价值0   万元；其他车辆  辆，价值  0 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3.办公家具价值  0 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4.其他资产价值55万元。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单位价值50万元以上大型设备0  台（套），单位价值100万元以上大型设备0 台（套）。</w:t>
      </w:r>
    </w:p>
    <w:p>
      <w:pPr>
        <w:spacing w:line="580" w:lineRule="exact"/>
        <w:ind w:firstLine="64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2018年部门预算未安排购置车辆经费（或安排购置车辆经费  万元），安排购置50万元以上大型设备 0 台（套），单位价值100万元以上大型设备 0 台（套）。</w:t>
      </w:r>
    </w:p>
    <w:p>
      <w:pPr>
        <w:spacing w:line="580" w:lineRule="exact"/>
        <w:ind w:firstLine="64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五、名词解释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指由一般公共预算、政府性基金预算安排的财政拨款数。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二、一般公共预算：</w:t>
      </w:r>
      <w:r>
        <w:rPr>
          <w:rFonts w:hint="eastAsia" w:ascii="仿宋_GB2312" w:eastAsia="仿宋_GB2312"/>
          <w:sz w:val="32"/>
          <w:szCs w:val="32"/>
        </w:rPr>
        <w:t>包括公共财政拨款（补助）资金、专项收入。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三、财政专户管理资金：</w:t>
      </w:r>
      <w:r>
        <w:rPr>
          <w:rFonts w:hint="eastAsia" w:ascii="仿宋_GB2312" w:eastAsia="仿宋_GB2312"/>
          <w:sz w:val="32"/>
          <w:szCs w:val="32"/>
        </w:rPr>
        <w:t>包括专户管理行政事业性收费（主要是教育收费）、其他非税收入。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四、其他资金：</w:t>
      </w:r>
      <w:r>
        <w:rPr>
          <w:rFonts w:hint="eastAsia" w:ascii="仿宋_GB2312" w:eastAsia="仿宋_GB2312"/>
          <w:sz w:val="32"/>
          <w:szCs w:val="32"/>
        </w:rPr>
        <w:t>包括事业收入、经营收入、其他收入等。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五、基本支出：</w:t>
      </w:r>
      <w:r>
        <w:rPr>
          <w:rFonts w:hint="eastAsia" w:ascii="仿宋_GB2312" w:eastAsia="仿宋_GB2312"/>
          <w:sz w:val="32"/>
          <w:szCs w:val="32"/>
        </w:rPr>
        <w:t>包括人员经费、商品和服务支出（定额）。其中，人员经费包括工资福利支出、对个人和家庭的补助。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六、项目支出：</w:t>
      </w:r>
      <w:r>
        <w:rPr>
          <w:rFonts w:hint="eastAsia" w:ascii="仿宋_GB2312" w:eastAsia="仿宋_GB2312"/>
          <w:sz w:val="32"/>
          <w:szCs w:val="32"/>
        </w:rPr>
        <w:t>部门支出预算的组成部分，是州本级部门为完成其特定的行政任务或事业发展目标，在基本支出预算之外编制的年度项目支出计划。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七、“三公”经费：</w:t>
      </w:r>
      <w:r>
        <w:rPr>
          <w:rFonts w:hint="eastAsia" w:ascii="仿宋_GB2312" w:eastAsia="仿宋_GB2312"/>
          <w:sz w:val="32"/>
          <w:szCs w:val="32"/>
        </w:rPr>
        <w:t>指州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八、机关运行经费：</w:t>
      </w:r>
      <w:r>
        <w:rPr>
          <w:rFonts w:hint="eastAsia" w:ascii="仿宋_GB2312" w:eastAsia="仿宋_GB2312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spacing w:line="360" w:lineRule="auto"/>
        <w:ind w:firstLine="627" w:firstLineChars="196"/>
        <w:rPr>
          <w:rFonts w:hint="eastAsia" w:ascii="仿宋_GB2312" w:eastAsia="仿宋_GB2312" w:cs="Tahoma"/>
          <w:sz w:val="32"/>
          <w:szCs w:val="32"/>
        </w:rPr>
      </w:pPr>
    </w:p>
    <w:p>
      <w:pPr>
        <w:spacing w:line="220" w:lineRule="atLeast"/>
        <w:ind w:firstLine="5760" w:firstLineChars="1600"/>
        <w:rPr>
          <w:rFonts w:hint="eastAsia" w:ascii="仿宋" w:hAnsi="仿宋" w:eastAsia="仿宋" w:cs="宋体"/>
          <w:color w:val="000000"/>
          <w:sz w:val="36"/>
          <w:szCs w:val="36"/>
        </w:rPr>
      </w:pPr>
      <w:r>
        <w:rPr>
          <w:rFonts w:hint="eastAsia" w:ascii="仿宋" w:hAnsi="仿宋" w:eastAsia="仿宋" w:cs="宋体"/>
          <w:color w:val="000000"/>
          <w:sz w:val="36"/>
          <w:szCs w:val="36"/>
          <w:lang w:eastAsia="zh-CN"/>
        </w:rPr>
        <w:t>木垒县</w:t>
      </w:r>
      <w:r>
        <w:rPr>
          <w:rFonts w:hint="eastAsia" w:ascii="仿宋" w:hAnsi="仿宋" w:eastAsia="仿宋" w:cs="宋体"/>
          <w:color w:val="000000"/>
          <w:sz w:val="36"/>
          <w:szCs w:val="36"/>
        </w:rPr>
        <w:t>计生指导站</w:t>
      </w:r>
    </w:p>
    <w:p>
      <w:pPr>
        <w:spacing w:line="220" w:lineRule="atLeast"/>
        <w:ind w:firstLine="5760" w:firstLineChars="1600"/>
        <w:rPr>
          <w:rFonts w:hint="eastAsia" w:ascii="仿宋" w:hAnsi="仿宋" w:eastAsia="仿宋" w:cs="宋体"/>
          <w:color w:val="000000"/>
          <w:sz w:val="36"/>
          <w:szCs w:val="36"/>
          <w:lang w:val="en-US" w:eastAsia="zh-CN"/>
        </w:rPr>
      </w:pPr>
      <w:r>
        <w:rPr>
          <w:rFonts w:hint="eastAsia" w:ascii="仿宋" w:hAnsi="仿宋" w:eastAsia="仿宋" w:cs="宋体"/>
          <w:color w:val="000000"/>
          <w:sz w:val="36"/>
          <w:szCs w:val="36"/>
          <w:lang w:val="en-US" w:eastAsia="zh-CN"/>
        </w:rPr>
        <w:t>2016年4月2日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418" w:bottom="1928" w:left="1588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84326"/>
    <w:rsid w:val="001432A1"/>
    <w:rsid w:val="00323B43"/>
    <w:rsid w:val="003D37D8"/>
    <w:rsid w:val="00426133"/>
    <w:rsid w:val="004358AB"/>
    <w:rsid w:val="0059124E"/>
    <w:rsid w:val="00725383"/>
    <w:rsid w:val="008B7726"/>
    <w:rsid w:val="00963B20"/>
    <w:rsid w:val="00D31D50"/>
    <w:rsid w:val="016D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hAnsi="Times New Roman" w:eastAsia="宋体" w:cs="Times New Roman"/>
      <w:kern w:val="2"/>
      <w:sz w:val="18"/>
      <w:szCs w:val="18"/>
    </w:rPr>
  </w:style>
  <w:style w:type="paragraph" w:styleId="3">
    <w:name w:val="header"/>
    <w:basedOn w:val="1"/>
    <w:link w:val="7"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hAnsi="Times New Roman" w:eastAsia="宋体" w:cs="Times New Roman"/>
      <w:kern w:val="2"/>
      <w:sz w:val="18"/>
      <w:szCs w:val="18"/>
    </w:rPr>
  </w:style>
  <w:style w:type="character" w:styleId="5">
    <w:name w:val="page number"/>
    <w:basedOn w:val="4"/>
    <w:uiPriority w:val="0"/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314</Words>
  <Characters>1793</Characters>
  <Lines>14</Lines>
  <Paragraphs>4</Paragraphs>
  <TotalTime>0</TotalTime>
  <ScaleCrop>false</ScaleCrop>
  <LinksUpToDate>false</LinksUpToDate>
  <CharactersWithSpaces>2103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111</dc:creator>
  <cp:lastModifiedBy>111</cp:lastModifiedBy>
  <dcterms:modified xsi:type="dcterms:W3CDTF">2018-12-23T08:22:29Z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