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838"/>
        <w:gridCol w:w="641"/>
        <w:gridCol w:w="172"/>
        <w:gridCol w:w="447"/>
        <w:gridCol w:w="1966"/>
        <w:gridCol w:w="1206"/>
        <w:gridCol w:w="965"/>
        <w:gridCol w:w="284"/>
        <w:gridCol w:w="6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部门名称</w:t>
            </w:r>
          </w:p>
        </w:tc>
        <w:tc>
          <w:tcPr>
            <w:tcW w:w="56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木垒哈萨克自治县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lang w:eastAsia="zh-CN"/>
              </w:rPr>
              <w:t>地震台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年度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主要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任务</w:t>
            </w:r>
          </w:p>
        </w:tc>
        <w:tc>
          <w:tcPr>
            <w:tcW w:w="14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任务名称</w:t>
            </w:r>
          </w:p>
        </w:tc>
        <w:tc>
          <w:tcPr>
            <w:tcW w:w="25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主要内容</w:t>
            </w:r>
          </w:p>
        </w:tc>
        <w:tc>
          <w:tcPr>
            <w:tcW w:w="3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25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总额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财政拨款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保障单位正常运行</w:t>
            </w:r>
          </w:p>
        </w:tc>
        <w:tc>
          <w:tcPr>
            <w:tcW w:w="25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发放本单位在职人员全年工资福利等支出。发放本单位退休人员全年交通补助和独生子女费支出。公用经费支出保证本单位正常运转。</w:t>
            </w:r>
          </w:p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default" w:cs="仿宋_GB2312" w:asciiTheme="minorEastAsia" w:hAnsiTheme="minorEastAsia" w:eastAsiaTheme="minorEastAsia"/>
                <w:kern w:val="0"/>
                <w:sz w:val="24"/>
                <w:lang w:val="en-US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84.15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default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84.15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　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0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金额合计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　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84.15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　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84.15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　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13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年度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总体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目标</w:t>
            </w:r>
          </w:p>
        </w:tc>
        <w:tc>
          <w:tcPr>
            <w:tcW w:w="713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目标1：开展地震监测预报工作；</w:t>
            </w:r>
          </w:p>
          <w:p>
            <w:pPr>
              <w:widowControl/>
              <w:jc w:val="left"/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目标2：</w:t>
            </w: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负责震情速报和地震灾情速报，保证地震观测资料、观测数据的及时上报，并负责向上级主管部门提供对本地区的地震分析预报意见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widowControl/>
              <w:jc w:val="left"/>
              <w:rPr>
                <w:rFonts w:hint="default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目标3：</w:t>
            </w:r>
            <w:r>
              <w:rPr>
                <w:rFonts w:hint="default" w:cs="仿宋_GB2312" w:asciiTheme="minorEastAsia" w:hAnsiTheme="minor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同有关部门开展防震减灾宣传教育工作，普及防震减灾知识，提高全社会的减灾</w:t>
            </w: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年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度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绩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指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标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二级指标</w:t>
            </w: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三级指标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</w:pPr>
          </w:p>
          <w:p>
            <w:pPr>
              <w:widowControl/>
              <w:jc w:val="both"/>
              <w:rPr>
                <w:rFonts w:hint="default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数量指标</w:t>
            </w: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1：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  <w:t>全年地震监测天数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  <w:t>≥365天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2：数据上报次数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≥600次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3：宏观观测点个数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≥5个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4：防震减灾宣传次数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 w:cs="仿宋_GB2312" w:asciiTheme="minorEastAsia" w:hAnsi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5：开展应急演练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 w:cs="仿宋_GB2312" w:asciiTheme="minorEastAsia" w:hAnsi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6：宏观观测员培训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 w:cs="仿宋_GB2312" w:asciiTheme="minorEastAsia" w:hAnsi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质</w:t>
            </w:r>
            <w:bookmarkStart w:id="1" w:name="_GoBack"/>
            <w:bookmarkEnd w:id="1"/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量指标</w:t>
            </w: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指标1：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eastAsia="zh-CN"/>
              </w:rPr>
              <w:t>监测数据的连续率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 w:cs="仿宋_GB2312" w:asciiTheme="minorEastAsia" w:hAnsi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指标2：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  <w:t>宏观观测数据上报率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eastAsia="zh-CN"/>
              </w:rPr>
              <w:t>宏观观测人员培训率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eastAsia="宋体" w:cs="仿宋_GB2312" w:asciiTheme="minorEastAsia" w:hAnsi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　　</w:t>
            </w: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时效指标</w:t>
            </w: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指标１：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  <w:t>日报上报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及时率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：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  <w:t>宏观观测点上报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及时率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成本指标</w:t>
            </w: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：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  <w:t>三公经费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 w:cs="仿宋_GB2312" w:asciiTheme="minorEastAsia" w:hAnsi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≤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2.85万元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社会效益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指标</w:t>
            </w: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指标1：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eastAsia="zh-CN"/>
              </w:rPr>
              <w:t>提高群众防灾意识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default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有效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可持续影响指标</w:t>
            </w: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4"/>
              </w:rPr>
              <w:t>保障区域内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地震监测工作</w:t>
            </w:r>
            <w:r>
              <w:rPr>
                <w:rFonts w:hint="eastAsia" w:ascii="宋体" w:hAnsi="宋体" w:cs="宋体"/>
                <w:kern w:val="0"/>
                <w:sz w:val="24"/>
              </w:rPr>
              <w:t>正常运行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eastAsia="宋体" w:cs="仿宋_GB2312" w:asciiTheme="minorEastAsia" w:hAnsi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满意度指标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满意度指标</w:t>
            </w: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群众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eastAsia="zh-CN"/>
              </w:rPr>
              <w:t>满意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度</w:t>
            </w:r>
          </w:p>
        </w:tc>
        <w:tc>
          <w:tcPr>
            <w:tcW w:w="18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95%</w:t>
            </w:r>
          </w:p>
        </w:tc>
      </w:tr>
    </w:tbl>
    <w:p>
      <w:pPr>
        <w:rPr>
          <w:rFonts w:cs="仿宋_GB2312"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1D14D5"/>
    <w:rsid w:val="00392EB2"/>
    <w:rsid w:val="004F794A"/>
    <w:rsid w:val="00541B9A"/>
    <w:rsid w:val="00746B35"/>
    <w:rsid w:val="00944B81"/>
    <w:rsid w:val="00B26A73"/>
    <w:rsid w:val="00BA190A"/>
    <w:rsid w:val="00BE22DC"/>
    <w:rsid w:val="00D4153D"/>
    <w:rsid w:val="00D85033"/>
    <w:rsid w:val="00E03297"/>
    <w:rsid w:val="00E40623"/>
    <w:rsid w:val="00FF01CE"/>
    <w:rsid w:val="01827230"/>
    <w:rsid w:val="04086EC2"/>
    <w:rsid w:val="08376447"/>
    <w:rsid w:val="0B435DEB"/>
    <w:rsid w:val="10E84CDF"/>
    <w:rsid w:val="131F26FB"/>
    <w:rsid w:val="186C13BC"/>
    <w:rsid w:val="19171696"/>
    <w:rsid w:val="1EF5708E"/>
    <w:rsid w:val="1F4C19E3"/>
    <w:rsid w:val="2947260F"/>
    <w:rsid w:val="2BDA39EA"/>
    <w:rsid w:val="33BD4C2F"/>
    <w:rsid w:val="342E40B2"/>
    <w:rsid w:val="35040BFC"/>
    <w:rsid w:val="37BB4452"/>
    <w:rsid w:val="38A92494"/>
    <w:rsid w:val="39FE42ED"/>
    <w:rsid w:val="3D0836C5"/>
    <w:rsid w:val="3F1C75A6"/>
    <w:rsid w:val="409F5303"/>
    <w:rsid w:val="45122AE9"/>
    <w:rsid w:val="492A571F"/>
    <w:rsid w:val="49C63B35"/>
    <w:rsid w:val="4A627C2C"/>
    <w:rsid w:val="4D3E4D2B"/>
    <w:rsid w:val="4D715C19"/>
    <w:rsid w:val="54410FD1"/>
    <w:rsid w:val="5C5759DB"/>
    <w:rsid w:val="670D1E87"/>
    <w:rsid w:val="699B282B"/>
    <w:rsid w:val="69FA40D5"/>
    <w:rsid w:val="6D295AE9"/>
    <w:rsid w:val="6D8B4D08"/>
    <w:rsid w:val="78970A91"/>
    <w:rsid w:val="7F4E6DD3"/>
    <w:rsid w:val="7FBA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143</Words>
  <Characters>821</Characters>
  <Lines>6</Lines>
  <Paragraphs>1</Paragraphs>
  <TotalTime>0</TotalTime>
  <ScaleCrop>false</ScaleCrop>
  <LinksUpToDate>false</LinksUpToDate>
  <CharactersWithSpaces>963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2021-03-12T02:55:18Z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