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spacing w:before="6"/>
        <w:ind w:left="0"/>
        <w:rPr>
          <w:rFonts w:ascii="Times New Roman"/>
          <w:sz w:val="28"/>
        </w:rPr>
      </w:pPr>
    </w:p>
    <w:p>
      <w:pPr>
        <w:pStyle w:val="2"/>
        <w:tabs>
          <w:tab w:val="left" w:pos="16940"/>
        </w:tabs>
        <w:ind w:firstLine="1200" w:firstLineChars="250"/>
        <w:jc w:val="both"/>
        <w:rPr>
          <w:rFonts w:hint="eastAsia" w:ascii="仿宋_GB2312" w:hAnsi="仿宋_GB2312" w:eastAsia="仿宋_GB2312" w:cs="仿宋_GB2312"/>
        </w:rPr>
      </w:pPr>
      <w:r>
        <w:rPr>
          <w:rFonts w:hint="eastAsia" w:ascii="仿宋_GB2312" w:hAnsi="仿宋_GB2312" w:eastAsia="仿宋_GB2312" w:cs="仿宋_GB2312"/>
          <w:lang w:eastAsia="zh-CN"/>
        </w:rPr>
        <w:t>木垒</w:t>
      </w:r>
      <w:r>
        <w:rPr>
          <w:rFonts w:hint="eastAsia" w:ascii="仿宋_GB2312" w:hAnsi="仿宋_GB2312" w:eastAsia="仿宋_GB2312" w:cs="仿宋_GB2312"/>
        </w:rPr>
        <w:t>县财政局</w:t>
      </w:r>
    </w:p>
    <w:p>
      <w:pPr>
        <w:pStyle w:val="2"/>
        <w:ind w:left="0" w:leftChars="0" w:firstLine="4320" w:firstLineChars="900"/>
        <w:jc w:val="both"/>
        <w:rPr>
          <w:rFonts w:hint="eastAsia" w:ascii="仿宋_GB2312" w:hAnsi="仿宋_GB2312" w:eastAsia="仿宋_GB2312" w:cs="仿宋_GB2312"/>
          <w:sz w:val="48"/>
        </w:rPr>
      </w:pPr>
      <w:r>
        <w:rPr>
          <w:rFonts w:hint="eastAsia" w:ascii="仿宋_GB2312" w:hAnsi="仿宋_GB2312" w:eastAsia="仿宋_GB2312" w:cs="仿宋_GB2312"/>
          <w:sz w:val="48"/>
        </w:rPr>
        <w:t>二〇</w:t>
      </w:r>
      <w:r>
        <w:rPr>
          <w:rFonts w:hint="eastAsia" w:ascii="仿宋_GB2312" w:hAnsi="仿宋_GB2312" w:eastAsia="仿宋_GB2312" w:cs="仿宋_GB2312"/>
          <w:sz w:val="48"/>
          <w:lang w:eastAsia="zh-CN"/>
        </w:rPr>
        <w:t>二〇</w:t>
      </w:r>
      <w:r>
        <w:rPr>
          <w:rFonts w:hint="eastAsia" w:ascii="仿宋_GB2312" w:hAnsi="仿宋_GB2312" w:eastAsia="仿宋_GB2312" w:cs="仿宋_GB2312"/>
          <w:sz w:val="48"/>
        </w:rPr>
        <w:t>年财政总决算编报分析</w:t>
      </w:r>
    </w:p>
    <w:p>
      <w:pPr>
        <w:pStyle w:val="4"/>
        <w:spacing w:line="364" w:lineRule="auto"/>
        <w:ind w:right="230" w:firstLine="640"/>
        <w:jc w:val="both"/>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昌吉州财政局：</w:t>
      </w:r>
    </w:p>
    <w:p>
      <w:pPr>
        <w:pStyle w:val="4"/>
        <w:spacing w:line="364" w:lineRule="auto"/>
        <w:ind w:right="23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pacing w:val="-11"/>
          <w:sz w:val="32"/>
          <w:szCs w:val="32"/>
        </w:rPr>
        <w:t>年是决战决胜</w:t>
      </w:r>
      <w:r>
        <w:rPr>
          <w:rFonts w:hint="eastAsia" w:ascii="仿宋_GB2312" w:hAnsi="仿宋_GB2312" w:eastAsia="仿宋_GB2312" w:cs="仿宋_GB2312"/>
          <w:spacing w:val="-11"/>
          <w:sz w:val="32"/>
          <w:szCs w:val="32"/>
          <w:lang w:eastAsia="zh-CN"/>
        </w:rPr>
        <w:t>脱贫攻坚</w:t>
      </w:r>
      <w:r>
        <w:rPr>
          <w:rFonts w:hint="eastAsia" w:ascii="仿宋_GB2312" w:hAnsi="仿宋_GB2312" w:eastAsia="仿宋_GB2312" w:cs="仿宋_GB2312"/>
          <w:spacing w:val="-11"/>
          <w:sz w:val="32"/>
          <w:szCs w:val="32"/>
        </w:rPr>
        <w:t xml:space="preserve">的关键之年，我县以习近平新时代中国特色社会主义思想为指导，增强“四个意识”， </w:t>
      </w:r>
      <w:r>
        <w:rPr>
          <w:rFonts w:hint="eastAsia" w:ascii="仿宋_GB2312" w:hAnsi="仿宋_GB2312" w:eastAsia="仿宋_GB2312" w:cs="仿宋_GB2312"/>
          <w:spacing w:val="-19"/>
          <w:sz w:val="32"/>
          <w:szCs w:val="32"/>
        </w:rPr>
        <w:t>坚定“四个自信”，做到“两个维护”，贯彻</w:t>
      </w:r>
      <w:bookmarkStart w:id="0" w:name="_GoBack"/>
      <w:bookmarkEnd w:id="0"/>
      <w:r>
        <w:rPr>
          <w:rFonts w:hint="eastAsia" w:ascii="仿宋_GB2312" w:hAnsi="仿宋_GB2312" w:eastAsia="仿宋_GB2312" w:cs="仿宋_GB2312"/>
          <w:spacing w:val="-19"/>
          <w:sz w:val="32"/>
          <w:szCs w:val="32"/>
        </w:rPr>
        <w:t>新发展理念，扎实做好“六稳”工作，全面落实“六保”任务，不忘初心，砥砺前行，为全县经济社会又好又快发展发挥了积</w:t>
      </w:r>
      <w:r>
        <w:rPr>
          <w:rFonts w:hint="eastAsia" w:ascii="仿宋_GB2312" w:hAnsi="仿宋_GB2312" w:eastAsia="仿宋_GB2312" w:cs="仿宋_GB2312"/>
          <w:spacing w:val="-26"/>
          <w:sz w:val="32"/>
          <w:szCs w:val="32"/>
        </w:rPr>
        <w:t xml:space="preserve">极的推动作用。现将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pacing w:val="-10"/>
          <w:sz w:val="32"/>
          <w:szCs w:val="32"/>
        </w:rPr>
        <w:t>年财政收支情况说明如下：</w:t>
      </w:r>
    </w:p>
    <w:p>
      <w:pPr>
        <w:pStyle w:val="3"/>
        <w:spacing w:before="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公共预算收入完成</w:t>
      </w:r>
      <w:r>
        <w:rPr>
          <w:rFonts w:hint="eastAsia" w:ascii="仿宋_GB2312" w:hAnsi="仿宋_GB2312" w:eastAsia="仿宋_GB2312" w:cs="仿宋_GB2312"/>
          <w:sz w:val="32"/>
          <w:szCs w:val="32"/>
        </w:rPr>
        <w:t>情况</w:t>
      </w:r>
    </w:p>
    <w:p>
      <w:pPr>
        <w:pStyle w:val="4"/>
        <w:spacing w:before="214" w:line="364" w:lineRule="auto"/>
        <w:ind w:right="120" w:firstLine="960" w:firstLineChars="300"/>
        <w:rPr>
          <w:rFonts w:hint="eastAsia" w:ascii="仿宋_GB2312" w:hAnsi="仿宋_GB2312" w:eastAsia="仿宋_GB2312" w:cs="仿宋_GB2312"/>
          <w:spacing w:val="-16"/>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pacing w:val="-14"/>
          <w:sz w:val="32"/>
          <w:szCs w:val="32"/>
        </w:rPr>
        <w:t xml:space="preserve"> 年，</w:t>
      </w:r>
      <w:r>
        <w:rPr>
          <w:rFonts w:hint="eastAsia" w:ascii="仿宋_GB2312" w:hAnsi="仿宋_GB2312" w:eastAsia="仿宋_GB2312" w:cs="仿宋_GB2312"/>
          <w:spacing w:val="-14"/>
          <w:sz w:val="32"/>
          <w:szCs w:val="32"/>
          <w:lang w:eastAsia="zh-CN"/>
        </w:rPr>
        <w:t>我县为了确保财政收入预期目标顺利实现，不断强化领导，明确责任，硬化措施，及时分析税源，针对性地查缺补漏，组织财税收入入库；坚持抓大不放小，大小税并重，主体税零星税并重，征管与稽查并重，努力做到了财政收入应收尽收。</w:t>
      </w:r>
      <w:r>
        <w:rPr>
          <w:rFonts w:hint="eastAsia" w:ascii="仿宋_GB2312" w:hAnsi="仿宋_GB2312" w:eastAsia="仿宋_GB2312" w:cs="仿宋_GB2312"/>
          <w:spacing w:val="-14"/>
          <w:sz w:val="32"/>
          <w:szCs w:val="32"/>
          <w:lang w:val="en-US" w:eastAsia="zh-CN"/>
        </w:rPr>
        <w:t>2020年</w:t>
      </w:r>
      <w:r>
        <w:rPr>
          <w:rFonts w:hint="eastAsia" w:ascii="仿宋_GB2312" w:hAnsi="仿宋_GB2312" w:eastAsia="仿宋_GB2312" w:cs="仿宋_GB2312"/>
          <w:spacing w:val="-14"/>
          <w:sz w:val="32"/>
          <w:szCs w:val="32"/>
        </w:rPr>
        <w:t>全县</w:t>
      </w:r>
      <w:r>
        <w:rPr>
          <w:rFonts w:hint="eastAsia" w:ascii="仿宋_GB2312" w:hAnsi="仿宋_GB2312" w:eastAsia="仿宋_GB2312" w:cs="仿宋_GB2312"/>
          <w:spacing w:val="-14"/>
          <w:sz w:val="32"/>
          <w:szCs w:val="32"/>
          <w:lang w:eastAsia="zh-CN"/>
        </w:rPr>
        <w:t>一般公共预算收入</w:t>
      </w:r>
      <w:r>
        <w:rPr>
          <w:rFonts w:hint="eastAsia" w:ascii="仿宋_GB2312" w:hAnsi="仿宋_GB2312" w:eastAsia="仿宋_GB2312" w:cs="仿宋_GB2312"/>
          <w:spacing w:val="-14"/>
          <w:sz w:val="32"/>
          <w:szCs w:val="32"/>
        </w:rPr>
        <w:t xml:space="preserve">完成 </w:t>
      </w:r>
      <w:r>
        <w:rPr>
          <w:rFonts w:hint="eastAsia" w:ascii="仿宋_GB2312" w:hAnsi="仿宋_GB2312" w:eastAsia="仿宋_GB2312" w:cs="仿宋_GB2312"/>
          <w:sz w:val="32"/>
          <w:szCs w:val="32"/>
          <w:lang w:val="en-US" w:eastAsia="zh-CN"/>
        </w:rPr>
        <w:t>44216</w:t>
      </w:r>
      <w:r>
        <w:rPr>
          <w:rFonts w:hint="eastAsia" w:ascii="仿宋_GB2312" w:hAnsi="仿宋_GB2312" w:eastAsia="仿宋_GB2312" w:cs="仿宋_GB2312"/>
          <w:spacing w:val="-16"/>
          <w:sz w:val="32"/>
          <w:szCs w:val="32"/>
        </w:rPr>
        <w:t xml:space="preserve">万元，占年初预算的 </w:t>
      </w:r>
      <w:r>
        <w:rPr>
          <w:rFonts w:hint="eastAsia" w:ascii="仿宋_GB2312" w:hAnsi="仿宋_GB2312" w:eastAsia="仿宋_GB2312" w:cs="仿宋_GB2312"/>
          <w:sz w:val="32"/>
          <w:szCs w:val="32"/>
          <w:lang w:val="en-US" w:eastAsia="zh-CN"/>
        </w:rPr>
        <w:t>106.12</w:t>
      </w:r>
      <w:r>
        <w:rPr>
          <w:rFonts w:hint="eastAsia" w:ascii="仿宋_GB2312" w:hAnsi="仿宋_GB2312" w:eastAsia="仿宋_GB2312" w:cs="仿宋_GB2312"/>
          <w:spacing w:val="-11"/>
          <w:sz w:val="32"/>
          <w:szCs w:val="32"/>
        </w:rPr>
        <w:t>％，同比</w:t>
      </w:r>
      <w:r>
        <w:rPr>
          <w:rFonts w:hint="eastAsia" w:ascii="仿宋_GB2312" w:hAnsi="仿宋_GB2312" w:eastAsia="仿宋_GB2312" w:cs="仿宋_GB2312"/>
          <w:spacing w:val="-11"/>
          <w:sz w:val="32"/>
          <w:szCs w:val="32"/>
          <w:lang w:eastAsia="zh-CN"/>
        </w:rPr>
        <w:t>下降</w:t>
      </w:r>
      <w:r>
        <w:rPr>
          <w:rFonts w:hint="eastAsia" w:ascii="仿宋_GB2312" w:hAnsi="仿宋_GB2312" w:eastAsia="仿宋_GB2312" w:cs="仿宋_GB2312"/>
          <w:spacing w:val="2"/>
          <w:sz w:val="32"/>
          <w:szCs w:val="32"/>
          <w:lang w:val="en-US" w:eastAsia="zh-CN"/>
        </w:rPr>
        <w:t>10.6</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eastAsia="zh-CN"/>
        </w:rPr>
        <w:t>。</w:t>
      </w:r>
    </w:p>
    <w:p>
      <w:pPr>
        <w:pStyle w:val="3"/>
        <w:spacing w:before="1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税收收入完成</w:t>
      </w:r>
      <w:r>
        <w:rPr>
          <w:rFonts w:hint="eastAsia" w:ascii="仿宋_GB2312" w:hAnsi="仿宋_GB2312" w:eastAsia="仿宋_GB2312" w:cs="仿宋_GB2312"/>
          <w:b w:val="0"/>
          <w:bCs w:val="0"/>
          <w:sz w:val="32"/>
          <w:szCs w:val="32"/>
        </w:rPr>
        <w:t>情况</w:t>
      </w:r>
    </w:p>
    <w:p>
      <w:pPr>
        <w:pStyle w:val="4"/>
        <w:spacing w:before="214" w:line="364" w:lineRule="auto"/>
        <w:ind w:right="120" w:firstLine="864" w:firstLineChars="300"/>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6"/>
          <w:sz w:val="32"/>
          <w:szCs w:val="32"/>
          <w:lang w:val="en-US" w:eastAsia="zh-CN"/>
        </w:rPr>
        <w:t>2020年木垒县</w:t>
      </w:r>
      <w:r>
        <w:rPr>
          <w:rFonts w:hint="eastAsia" w:ascii="仿宋_GB2312" w:hAnsi="仿宋_GB2312" w:eastAsia="仿宋_GB2312" w:cs="仿宋_GB2312"/>
          <w:spacing w:val="-7"/>
          <w:sz w:val="32"/>
          <w:szCs w:val="32"/>
        </w:rPr>
        <w:t xml:space="preserve">税收收入完成 </w:t>
      </w:r>
      <w:r>
        <w:rPr>
          <w:rFonts w:hint="eastAsia" w:ascii="仿宋_GB2312" w:hAnsi="仿宋_GB2312" w:eastAsia="仿宋_GB2312" w:cs="仿宋_GB2312"/>
          <w:sz w:val="32"/>
          <w:szCs w:val="32"/>
          <w:lang w:val="en-US" w:eastAsia="zh-CN"/>
        </w:rPr>
        <w:t>29712</w:t>
      </w:r>
      <w:r>
        <w:rPr>
          <w:rFonts w:hint="eastAsia" w:ascii="仿宋_GB2312" w:hAnsi="仿宋_GB2312" w:eastAsia="仿宋_GB2312" w:cs="仿宋_GB2312"/>
          <w:spacing w:val="-21"/>
          <w:sz w:val="32"/>
          <w:szCs w:val="32"/>
        </w:rPr>
        <w:t xml:space="preserve"> 万元，占年初预算的</w:t>
      </w:r>
      <w:r>
        <w:rPr>
          <w:rFonts w:hint="eastAsia" w:ascii="仿宋_GB2312" w:hAnsi="仿宋_GB2312" w:eastAsia="仿宋_GB2312" w:cs="仿宋_GB2312"/>
          <w:spacing w:val="-21"/>
          <w:sz w:val="32"/>
          <w:szCs w:val="32"/>
          <w:lang w:val="en-US" w:eastAsia="zh-CN"/>
        </w:rPr>
        <w:t>92.28</w:t>
      </w:r>
      <w:r>
        <w:rPr>
          <w:rFonts w:hint="eastAsia" w:ascii="仿宋_GB2312" w:hAnsi="仿宋_GB2312" w:eastAsia="仿宋_GB2312" w:cs="仿宋_GB2312"/>
          <w:spacing w:val="-15"/>
          <w:sz w:val="32"/>
          <w:szCs w:val="32"/>
        </w:rPr>
        <w:t xml:space="preserve">％，同比下降 </w:t>
      </w:r>
      <w:r>
        <w:rPr>
          <w:rFonts w:hint="eastAsia" w:ascii="仿宋_GB2312" w:hAnsi="仿宋_GB2312" w:eastAsia="仿宋_GB2312" w:cs="仿宋_GB2312"/>
          <w:spacing w:val="-7"/>
          <w:sz w:val="32"/>
          <w:szCs w:val="32"/>
          <w:lang w:val="en-US" w:eastAsia="zh-CN"/>
        </w:rPr>
        <w:t>1.92</w:t>
      </w:r>
      <w:r>
        <w:rPr>
          <w:rFonts w:hint="eastAsia" w:ascii="仿宋_GB2312" w:hAnsi="仿宋_GB2312" w:eastAsia="仿宋_GB2312" w:cs="仿宋_GB2312"/>
          <w:spacing w:val="-4"/>
          <w:sz w:val="32"/>
          <w:szCs w:val="32"/>
        </w:rPr>
        <w:t>％，减收</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pacing w:val="-15"/>
          <w:sz w:val="32"/>
          <w:szCs w:val="32"/>
        </w:rPr>
        <w:t xml:space="preserve"> 万元；</w:t>
      </w:r>
      <w:r>
        <w:rPr>
          <w:rFonts w:hint="eastAsia" w:ascii="仿宋_GB2312" w:hAnsi="仿宋_GB2312" w:eastAsia="仿宋_GB2312" w:cs="仿宋_GB2312"/>
          <w:spacing w:val="-15"/>
          <w:sz w:val="32"/>
          <w:szCs w:val="32"/>
          <w:lang w:eastAsia="zh-CN"/>
        </w:rPr>
        <w:t>其中：增值税完成</w:t>
      </w:r>
      <w:r>
        <w:rPr>
          <w:rFonts w:hint="eastAsia" w:ascii="仿宋_GB2312" w:hAnsi="仿宋_GB2312" w:eastAsia="仿宋_GB2312" w:cs="仿宋_GB2312"/>
          <w:spacing w:val="-15"/>
          <w:sz w:val="32"/>
          <w:szCs w:val="32"/>
          <w:lang w:val="en-US" w:eastAsia="zh-CN"/>
        </w:rPr>
        <w:t>5639万元（包含改征增值税），同比增长11.62%，增收587万元；企业所得税完成1651万元，同比增长61.07%，增收626万元：个人所得税完成484万元，同比下降28.61%，减收194万元；资源税完成27万元，同比下降49.05%，减收26万元；城市维护建设税完成756万元，同比增长26.84%，增收160万元；房产税完成397万元，同比下降3.64%，减收15万元；印花税完成977万元，同比增长83.3%，增收444万元；城镇土地使用税724万元，同比增长23.76%，增收139万元；土地增值税完成261万元，同比下降8.42%，减收24万元；车船税完成440万元，同比增长13.7%，增收53万元；耕地占用税17649万元，同比下降12.04%，减收2417万元；契税完成691万元，同比增长10.91%，增收68万元；环境保护税完成16万元，同比增长100%，增收16万元。</w:t>
      </w:r>
    </w:p>
    <w:p>
      <w:pPr>
        <w:pStyle w:val="3"/>
        <w:spacing w:before="10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非税收入完成</w:t>
      </w:r>
      <w:r>
        <w:rPr>
          <w:rFonts w:hint="eastAsia" w:ascii="仿宋_GB2312" w:hAnsi="仿宋_GB2312" w:eastAsia="仿宋_GB2312" w:cs="仿宋_GB2312"/>
          <w:b w:val="0"/>
          <w:bCs w:val="0"/>
          <w:sz w:val="32"/>
          <w:szCs w:val="32"/>
        </w:rPr>
        <w:t>情况</w:t>
      </w:r>
    </w:p>
    <w:p>
      <w:pPr>
        <w:pStyle w:val="4"/>
        <w:spacing w:before="214" w:line="364" w:lineRule="auto"/>
        <w:ind w:right="120" w:firstLine="870" w:firstLineChars="300"/>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15"/>
          <w:sz w:val="32"/>
          <w:szCs w:val="32"/>
        </w:rPr>
        <w:t>非税收入完成</w:t>
      </w:r>
      <w:r>
        <w:rPr>
          <w:rFonts w:hint="eastAsia" w:ascii="仿宋_GB2312" w:hAnsi="仿宋_GB2312" w:eastAsia="仿宋_GB2312" w:cs="仿宋_GB2312"/>
          <w:spacing w:val="-15"/>
          <w:sz w:val="32"/>
          <w:szCs w:val="32"/>
          <w:lang w:val="en-US" w:eastAsia="zh-CN"/>
        </w:rPr>
        <w:t>14504</w:t>
      </w:r>
      <w:r>
        <w:rPr>
          <w:rFonts w:hint="eastAsia" w:ascii="仿宋_GB2312" w:hAnsi="仿宋_GB2312" w:eastAsia="仿宋_GB2312" w:cs="仿宋_GB2312"/>
          <w:spacing w:val="-15"/>
          <w:sz w:val="32"/>
          <w:szCs w:val="32"/>
        </w:rPr>
        <w:t xml:space="preserve"> 万元，占年初预算的 </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2</w:t>
      </w:r>
      <w:r>
        <w:rPr>
          <w:rFonts w:hint="eastAsia" w:ascii="仿宋_GB2312" w:hAnsi="仿宋_GB2312" w:eastAsia="仿宋_GB2312" w:cs="仿宋_GB2312"/>
          <w:spacing w:val="-11"/>
          <w:sz w:val="32"/>
          <w:szCs w:val="32"/>
        </w:rPr>
        <w:t>％，同比</w:t>
      </w:r>
      <w:r>
        <w:rPr>
          <w:rFonts w:hint="eastAsia" w:ascii="仿宋_GB2312" w:hAnsi="仿宋_GB2312" w:eastAsia="仿宋_GB2312" w:cs="仿宋_GB2312"/>
          <w:spacing w:val="-11"/>
          <w:sz w:val="32"/>
          <w:szCs w:val="32"/>
          <w:lang w:eastAsia="zh-CN"/>
        </w:rPr>
        <w:t>下降</w:t>
      </w:r>
      <w:r>
        <w:rPr>
          <w:rFonts w:hint="eastAsia" w:ascii="仿宋_GB2312" w:hAnsi="仿宋_GB2312" w:eastAsia="仿宋_GB2312" w:cs="仿宋_GB2312"/>
          <w:sz w:val="32"/>
          <w:szCs w:val="32"/>
          <w:lang w:val="en-US" w:eastAsia="zh-CN"/>
        </w:rPr>
        <w:t>24.35</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eastAsia="zh-CN"/>
        </w:rPr>
        <w:t>减</w:t>
      </w:r>
      <w:r>
        <w:rPr>
          <w:rFonts w:hint="eastAsia" w:ascii="仿宋_GB2312" w:hAnsi="仿宋_GB2312" w:eastAsia="仿宋_GB2312" w:cs="仿宋_GB2312"/>
          <w:spacing w:val="-16"/>
          <w:sz w:val="32"/>
          <w:szCs w:val="32"/>
        </w:rPr>
        <w:t xml:space="preserve">收 </w:t>
      </w:r>
      <w:r>
        <w:rPr>
          <w:rFonts w:hint="eastAsia" w:ascii="仿宋_GB2312" w:hAnsi="仿宋_GB2312" w:eastAsia="仿宋_GB2312" w:cs="仿宋_GB2312"/>
          <w:spacing w:val="-16"/>
          <w:sz w:val="32"/>
          <w:szCs w:val="32"/>
          <w:lang w:val="en-US" w:eastAsia="zh-CN"/>
        </w:rPr>
        <w:t>4670</w:t>
      </w:r>
      <w:r>
        <w:rPr>
          <w:rFonts w:hint="eastAsia" w:ascii="仿宋_GB2312" w:hAnsi="仿宋_GB2312" w:eastAsia="仿宋_GB2312" w:cs="仿宋_GB2312"/>
          <w:spacing w:val="-8"/>
          <w:sz w:val="32"/>
          <w:szCs w:val="32"/>
        </w:rPr>
        <w:t>万元；其中：专项收入完</w:t>
      </w:r>
      <w:r>
        <w:rPr>
          <w:rFonts w:hint="eastAsia" w:ascii="仿宋_GB2312" w:hAnsi="仿宋_GB2312" w:eastAsia="仿宋_GB2312" w:cs="仿宋_GB2312"/>
          <w:spacing w:val="-42"/>
          <w:sz w:val="32"/>
          <w:szCs w:val="32"/>
        </w:rPr>
        <w:t>成</w:t>
      </w:r>
      <w:r>
        <w:rPr>
          <w:rFonts w:hint="eastAsia" w:ascii="仿宋_GB2312" w:hAnsi="仿宋_GB2312" w:eastAsia="仿宋_GB2312" w:cs="仿宋_GB2312"/>
          <w:spacing w:val="-42"/>
          <w:sz w:val="32"/>
          <w:szCs w:val="32"/>
          <w:lang w:val="en-US" w:eastAsia="zh-CN"/>
        </w:rPr>
        <w:t>1171</w:t>
      </w:r>
      <w:r>
        <w:rPr>
          <w:rFonts w:hint="eastAsia" w:ascii="仿宋_GB2312" w:hAnsi="仿宋_GB2312" w:eastAsia="仿宋_GB2312" w:cs="仿宋_GB2312"/>
          <w:spacing w:val="-21"/>
          <w:sz w:val="32"/>
          <w:szCs w:val="32"/>
        </w:rPr>
        <w:t xml:space="preserve"> 万元，占年初预算的 </w:t>
      </w:r>
      <w:r>
        <w:rPr>
          <w:rFonts w:hint="eastAsia" w:ascii="仿宋_GB2312" w:hAnsi="仿宋_GB2312" w:eastAsia="仿宋_GB2312" w:cs="仿宋_GB2312"/>
          <w:spacing w:val="-5"/>
          <w:sz w:val="32"/>
          <w:szCs w:val="32"/>
          <w:lang w:val="en-US" w:eastAsia="zh-CN"/>
        </w:rPr>
        <w:t>234.2</w:t>
      </w:r>
      <w:r>
        <w:rPr>
          <w:rFonts w:hint="eastAsia" w:ascii="仿宋_GB2312" w:hAnsi="仿宋_GB2312" w:eastAsia="仿宋_GB2312" w:cs="仿宋_GB2312"/>
          <w:spacing w:val="-15"/>
          <w:sz w:val="32"/>
          <w:szCs w:val="32"/>
        </w:rPr>
        <w:t xml:space="preserve">％，同比增长 </w:t>
      </w:r>
      <w:r>
        <w:rPr>
          <w:rFonts w:hint="eastAsia" w:ascii="仿宋_GB2312" w:hAnsi="仿宋_GB2312" w:eastAsia="仿宋_GB2312" w:cs="仿宋_GB2312"/>
          <w:spacing w:val="-15"/>
          <w:sz w:val="32"/>
          <w:szCs w:val="32"/>
          <w:lang w:val="en-US" w:eastAsia="zh-CN"/>
        </w:rPr>
        <w:t>83.54</w:t>
      </w:r>
      <w:r>
        <w:rPr>
          <w:rFonts w:hint="eastAsia" w:ascii="仿宋_GB2312" w:hAnsi="仿宋_GB2312" w:eastAsia="仿宋_GB2312" w:cs="仿宋_GB2312"/>
          <w:spacing w:val="-19"/>
          <w:sz w:val="32"/>
          <w:szCs w:val="32"/>
        </w:rPr>
        <w:t xml:space="preserve">％，增收 </w:t>
      </w:r>
      <w:r>
        <w:rPr>
          <w:rFonts w:hint="eastAsia" w:ascii="仿宋_GB2312" w:hAnsi="仿宋_GB2312" w:eastAsia="仿宋_GB2312" w:cs="仿宋_GB2312"/>
          <w:sz w:val="32"/>
          <w:szCs w:val="32"/>
          <w:lang w:val="en-US" w:eastAsia="zh-CN"/>
        </w:rPr>
        <w:t>533</w:t>
      </w:r>
      <w:r>
        <w:rPr>
          <w:rFonts w:hint="eastAsia" w:ascii="仿宋_GB2312" w:hAnsi="仿宋_GB2312" w:eastAsia="仿宋_GB2312" w:cs="仿宋_GB2312"/>
          <w:spacing w:val="-17"/>
          <w:sz w:val="32"/>
          <w:szCs w:val="32"/>
        </w:rPr>
        <w:t xml:space="preserve"> 万元；行政性收费收入完成 </w:t>
      </w:r>
      <w:r>
        <w:rPr>
          <w:rFonts w:hint="eastAsia" w:ascii="仿宋_GB2312" w:hAnsi="仿宋_GB2312" w:eastAsia="仿宋_GB2312" w:cs="仿宋_GB2312"/>
          <w:spacing w:val="-17"/>
          <w:sz w:val="32"/>
          <w:szCs w:val="32"/>
          <w:lang w:val="en-US" w:eastAsia="zh-CN"/>
        </w:rPr>
        <w:t>2324</w:t>
      </w:r>
      <w:r>
        <w:rPr>
          <w:rFonts w:hint="eastAsia" w:ascii="仿宋_GB2312" w:hAnsi="仿宋_GB2312" w:eastAsia="仿宋_GB2312" w:cs="仿宋_GB2312"/>
          <w:spacing w:val="-13"/>
          <w:sz w:val="32"/>
          <w:szCs w:val="32"/>
        </w:rPr>
        <w:t xml:space="preserve"> 万元，占年初预算的</w:t>
      </w:r>
      <w:r>
        <w:rPr>
          <w:rFonts w:hint="eastAsia" w:ascii="仿宋_GB2312" w:hAnsi="仿宋_GB2312" w:eastAsia="仿宋_GB2312" w:cs="仿宋_GB2312"/>
          <w:spacing w:val="-13"/>
          <w:sz w:val="32"/>
          <w:szCs w:val="32"/>
          <w:lang w:val="en-US" w:eastAsia="zh-CN"/>
        </w:rPr>
        <w:t>41.72</w:t>
      </w:r>
      <w:r>
        <w:rPr>
          <w:rFonts w:hint="eastAsia" w:ascii="仿宋_GB2312" w:hAnsi="仿宋_GB2312" w:eastAsia="仿宋_GB2312" w:cs="仿宋_GB2312"/>
          <w:spacing w:val="-17"/>
          <w:sz w:val="32"/>
          <w:szCs w:val="32"/>
        </w:rPr>
        <w:t xml:space="preserve">％，同比下降 </w:t>
      </w:r>
      <w:r>
        <w:rPr>
          <w:rFonts w:hint="eastAsia" w:ascii="仿宋_GB2312" w:hAnsi="仿宋_GB2312" w:eastAsia="仿宋_GB2312" w:cs="仿宋_GB2312"/>
          <w:spacing w:val="-17"/>
          <w:sz w:val="32"/>
          <w:szCs w:val="32"/>
          <w:lang w:val="en-US" w:eastAsia="zh-CN"/>
        </w:rPr>
        <w:t>60.23</w:t>
      </w:r>
      <w:r>
        <w:rPr>
          <w:rFonts w:hint="eastAsia" w:ascii="仿宋_GB2312" w:hAnsi="仿宋_GB2312" w:eastAsia="仿宋_GB2312" w:cs="仿宋_GB2312"/>
          <w:spacing w:val="-15"/>
          <w:sz w:val="32"/>
          <w:szCs w:val="32"/>
        </w:rPr>
        <w:t xml:space="preserve">％，减收 </w:t>
      </w:r>
      <w:r>
        <w:rPr>
          <w:rFonts w:hint="eastAsia" w:ascii="仿宋_GB2312" w:hAnsi="仿宋_GB2312" w:eastAsia="仿宋_GB2312" w:cs="仿宋_GB2312"/>
          <w:spacing w:val="-15"/>
          <w:sz w:val="32"/>
          <w:szCs w:val="32"/>
          <w:lang w:val="en-US" w:eastAsia="zh-CN"/>
        </w:rPr>
        <w:t>3520</w:t>
      </w:r>
      <w:r>
        <w:rPr>
          <w:rFonts w:hint="eastAsia" w:ascii="仿宋_GB2312" w:hAnsi="仿宋_GB2312" w:eastAsia="仿宋_GB2312" w:cs="仿宋_GB2312"/>
          <w:spacing w:val="-14"/>
          <w:sz w:val="32"/>
          <w:szCs w:val="32"/>
        </w:rPr>
        <w:t xml:space="preserve"> 万元；罚没收入完成 </w:t>
      </w:r>
      <w:r>
        <w:rPr>
          <w:rFonts w:hint="eastAsia" w:ascii="仿宋_GB2312" w:hAnsi="仿宋_GB2312" w:eastAsia="仿宋_GB2312" w:cs="仿宋_GB2312"/>
          <w:sz w:val="32"/>
          <w:szCs w:val="32"/>
          <w:lang w:val="en-US" w:eastAsia="zh-CN"/>
        </w:rPr>
        <w:t>3396</w:t>
      </w:r>
      <w:r>
        <w:rPr>
          <w:rFonts w:hint="eastAsia" w:ascii="仿宋_GB2312" w:hAnsi="仿宋_GB2312" w:eastAsia="仿宋_GB2312" w:cs="仿宋_GB2312"/>
          <w:spacing w:val="-14"/>
          <w:sz w:val="32"/>
          <w:szCs w:val="32"/>
        </w:rPr>
        <w:t xml:space="preserve">万元，占年初预算的 </w:t>
      </w:r>
      <w:r>
        <w:rPr>
          <w:rFonts w:hint="eastAsia" w:ascii="仿宋_GB2312" w:hAnsi="仿宋_GB2312" w:eastAsia="仿宋_GB2312" w:cs="仿宋_GB2312"/>
          <w:sz w:val="32"/>
          <w:szCs w:val="32"/>
          <w:lang w:val="en-US" w:eastAsia="zh-CN"/>
        </w:rPr>
        <w:t>121.29</w:t>
      </w:r>
      <w:r>
        <w:rPr>
          <w:rFonts w:hint="eastAsia" w:ascii="仿宋_GB2312" w:hAnsi="仿宋_GB2312" w:eastAsia="仿宋_GB2312" w:cs="仿宋_GB2312"/>
          <w:spacing w:val="-11"/>
          <w:sz w:val="32"/>
          <w:szCs w:val="32"/>
        </w:rPr>
        <w:t>％，同比</w:t>
      </w:r>
      <w:r>
        <w:rPr>
          <w:rFonts w:hint="eastAsia" w:ascii="仿宋_GB2312" w:hAnsi="仿宋_GB2312" w:eastAsia="仿宋_GB2312" w:cs="仿宋_GB2312"/>
          <w:spacing w:val="-11"/>
          <w:sz w:val="32"/>
          <w:szCs w:val="32"/>
          <w:lang w:eastAsia="zh-CN"/>
        </w:rPr>
        <w:t>增长</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z w:val="32"/>
          <w:szCs w:val="32"/>
          <w:lang w:val="en-US" w:eastAsia="zh-CN"/>
        </w:rPr>
        <w:t>26.48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val="en-US" w:eastAsia="zh-CN"/>
        </w:rPr>
        <w:t>711</w:t>
      </w:r>
      <w:r>
        <w:rPr>
          <w:rFonts w:hint="eastAsia" w:ascii="仿宋_GB2312" w:hAnsi="仿宋_GB2312" w:eastAsia="仿宋_GB2312" w:cs="仿宋_GB2312"/>
          <w:spacing w:val="-16"/>
          <w:sz w:val="32"/>
          <w:szCs w:val="32"/>
        </w:rPr>
        <w:t xml:space="preserve">万元；国有资源有偿使用收入 </w:t>
      </w:r>
      <w:r>
        <w:rPr>
          <w:rFonts w:hint="eastAsia" w:ascii="仿宋_GB2312" w:hAnsi="仿宋_GB2312" w:eastAsia="仿宋_GB2312" w:cs="仿宋_GB2312"/>
          <w:spacing w:val="-16"/>
          <w:sz w:val="32"/>
          <w:szCs w:val="32"/>
          <w:lang w:val="en-US" w:eastAsia="zh-CN"/>
        </w:rPr>
        <w:t>6096</w:t>
      </w:r>
      <w:r>
        <w:rPr>
          <w:rFonts w:hint="eastAsia" w:ascii="仿宋_GB2312" w:hAnsi="仿宋_GB2312" w:eastAsia="仿宋_GB2312" w:cs="仿宋_GB2312"/>
          <w:spacing w:val="-19"/>
          <w:sz w:val="32"/>
          <w:szCs w:val="32"/>
        </w:rPr>
        <w:t xml:space="preserve"> 万元，占年初预算的 </w:t>
      </w:r>
      <w:r>
        <w:rPr>
          <w:rFonts w:hint="eastAsia" w:ascii="仿宋_GB2312" w:hAnsi="仿宋_GB2312" w:eastAsia="仿宋_GB2312" w:cs="仿宋_GB2312"/>
          <w:sz w:val="32"/>
          <w:szCs w:val="32"/>
          <w:lang w:val="en-US" w:eastAsia="zh-CN"/>
        </w:rPr>
        <w:t>1016</w:t>
      </w:r>
      <w:r>
        <w:rPr>
          <w:rFonts w:hint="eastAsia" w:ascii="仿宋_GB2312" w:hAnsi="仿宋_GB2312" w:eastAsia="仿宋_GB2312" w:cs="仿宋_GB2312"/>
          <w:spacing w:val="-13"/>
          <w:sz w:val="32"/>
          <w:szCs w:val="32"/>
        </w:rPr>
        <w:t>%，同比</w:t>
      </w:r>
      <w:r>
        <w:rPr>
          <w:rFonts w:hint="eastAsia" w:ascii="仿宋_GB2312" w:hAnsi="仿宋_GB2312" w:eastAsia="仿宋_GB2312" w:cs="仿宋_GB2312"/>
          <w:spacing w:val="-13"/>
          <w:sz w:val="32"/>
          <w:szCs w:val="32"/>
          <w:lang w:eastAsia="zh-CN"/>
        </w:rPr>
        <w:t>下降</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lang w:val="en-US" w:eastAsia="zh-CN"/>
        </w:rPr>
        <w:t>34.89</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eastAsia="zh-CN"/>
        </w:rPr>
        <w:t>减收</w:t>
      </w:r>
      <w:r>
        <w:rPr>
          <w:rFonts w:hint="eastAsia" w:ascii="仿宋_GB2312" w:hAnsi="仿宋_GB2312" w:eastAsia="仿宋_GB2312" w:cs="仿宋_GB2312"/>
          <w:sz w:val="32"/>
          <w:szCs w:val="32"/>
          <w:lang w:val="en-US" w:eastAsia="zh-CN"/>
        </w:rPr>
        <w:t>3267</w:t>
      </w:r>
      <w:r>
        <w:rPr>
          <w:rFonts w:hint="eastAsia" w:ascii="仿宋_GB2312" w:hAnsi="仿宋_GB2312" w:eastAsia="仿宋_GB2312" w:cs="仿宋_GB2312"/>
          <w:spacing w:val="-13"/>
          <w:sz w:val="32"/>
          <w:szCs w:val="32"/>
        </w:rPr>
        <w:t>万元；政府住房基</w:t>
      </w:r>
      <w:r>
        <w:rPr>
          <w:rFonts w:hint="eastAsia" w:ascii="仿宋_GB2312" w:hAnsi="仿宋_GB2312" w:eastAsia="仿宋_GB2312" w:cs="仿宋_GB2312"/>
          <w:spacing w:val="-31"/>
          <w:sz w:val="32"/>
          <w:szCs w:val="32"/>
        </w:rPr>
        <w:t xml:space="preserve">金收入 </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pacing w:val="-17"/>
          <w:sz w:val="32"/>
          <w:szCs w:val="32"/>
        </w:rPr>
        <w:t>元，</w:t>
      </w:r>
      <w:r>
        <w:rPr>
          <w:rFonts w:hint="eastAsia" w:ascii="仿宋_GB2312" w:hAnsi="仿宋_GB2312" w:eastAsia="仿宋_GB2312" w:cs="仿宋_GB2312"/>
          <w:spacing w:val="-17"/>
          <w:sz w:val="32"/>
          <w:szCs w:val="32"/>
          <w:lang w:eastAsia="zh-CN"/>
        </w:rPr>
        <w:t>年初未做出预算</w:t>
      </w:r>
      <w:r>
        <w:rPr>
          <w:rFonts w:hint="eastAsia" w:ascii="仿宋_GB2312" w:hAnsi="仿宋_GB2312" w:eastAsia="仿宋_GB2312" w:cs="仿宋_GB2312"/>
          <w:spacing w:val="-12"/>
          <w:sz w:val="32"/>
          <w:szCs w:val="32"/>
        </w:rPr>
        <w:t xml:space="preserve">，同比增长 </w:t>
      </w:r>
      <w:r>
        <w:rPr>
          <w:rFonts w:hint="eastAsia" w:ascii="仿宋_GB2312" w:hAnsi="仿宋_GB2312" w:eastAsia="仿宋_GB2312" w:cs="仿宋_GB2312"/>
          <w:sz w:val="32"/>
          <w:szCs w:val="32"/>
          <w:lang w:val="en-US" w:eastAsia="zh-CN"/>
        </w:rPr>
        <w:t>183.45</w:t>
      </w:r>
      <w:r>
        <w:rPr>
          <w:rFonts w:hint="eastAsia" w:ascii="仿宋_GB2312" w:hAnsi="仿宋_GB2312" w:eastAsia="仿宋_GB2312" w:cs="仿宋_GB2312"/>
          <w:spacing w:val="-17"/>
          <w:sz w:val="32"/>
          <w:szCs w:val="32"/>
        </w:rPr>
        <w:t xml:space="preserve">%，增收 </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pacing w:val="-21"/>
          <w:sz w:val="32"/>
          <w:szCs w:val="32"/>
        </w:rPr>
        <w:t>元。</w:t>
      </w:r>
    </w:p>
    <w:p>
      <w:pPr>
        <w:pStyle w:val="3"/>
        <w:spacing w:before="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财政支出执行情况</w:t>
      </w:r>
    </w:p>
    <w:p>
      <w:pPr>
        <w:pStyle w:val="4"/>
        <w:spacing w:before="214" w:line="364" w:lineRule="auto"/>
        <w:ind w:right="120" w:firstLine="834" w:firstLineChars="300"/>
        <w:rPr>
          <w:rFonts w:hint="eastAsia" w:ascii="仿宋_GB2312" w:hAnsi="仿宋_GB2312" w:eastAsia="仿宋_GB2312" w:cs="仿宋_GB2312"/>
          <w:spacing w:val="-21"/>
          <w:sz w:val="32"/>
          <w:szCs w:val="32"/>
          <w:lang w:val="en-US" w:eastAsia="zh-CN"/>
        </w:rPr>
      </w:pPr>
      <w:r>
        <w:rPr>
          <w:rFonts w:hint="eastAsia" w:ascii="仿宋_GB2312" w:hAnsi="仿宋_GB2312" w:eastAsia="仿宋_GB2312" w:cs="仿宋_GB2312"/>
          <w:spacing w:val="-21"/>
          <w:sz w:val="32"/>
          <w:szCs w:val="32"/>
          <w:lang w:val="en-US" w:eastAsia="zh-CN"/>
        </w:rPr>
        <w:t>2020年一般财政公共预算支出为 204361 万元，同比增长 14.94％，增支 26566万元；其中：一般公共服务支出为28876万元，同比增长63.54％，增支 11220万元 ；国防支出为 554万元，同比下降 48.56％，减支 523万元；公共安全支出17118万元，同比下降 4.13％，减支 738万元；教育支出38985万元， 同比增长 28％，增支 8529万元；科学技术支出1452万元，同比下降0.55 ％，减支 8万元；文化旅游体育与传媒支出2552万元， 同比下降 31.39％，减支 1168万元；社会保障和就业支出21984万元，同比增长 22.87％，增支 4092万元；卫生健康支出12637万元，同比增长 54.75％，增支4471万元；节能环保支出640万元，同比下降1.05％，减支 2738万元；城乡社区支出14373万元，同比增长16.94％，增支 2082万元；农林水支出45396万元，同比增长 14.14％，增支 5623万元；交通运输支出7868万元，同比增长13.84％，增支 957万元；资源勘探工业信息等支出166万元，同比增长 96.43％，增支110万元；商业服务业等支出325万元，同比下降55.9 ％，减支 412万元；金融支出8万元，同比增长100%；自然资源海洋气象等支出1503万元，同比增长 100.66％，增支 754万元；住房保障支出695万元，同比下降 88.64％，减支 5425万元；粮油物资储备支出123万元，同比增长100%；灾害防治及应急管理支出862万元，同比下降3.79％，减支 234万元；其他支出5525万元，同比下降11.64％，减支728万元；债务付息支出2699万元，同比增长15.29％，增支358万元；债务发行费用支出20万元，同比增长 185.7％，增支 13万元；政府性基金支出为 63991万元，同比增长 585.86％，增支 54661万元。国有资本经营预算支出 2万元，同比增长 100%，增支 2万元。确保了全县干部职工基本工资的发放及农业、扶贫、教育、文化体育与传媒、医疗卫生、节能环保、社会保障等重点支出。</w:t>
      </w:r>
    </w:p>
    <w:p>
      <w:pPr>
        <w:pStyle w:val="3"/>
        <w:spacing w:before="10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基金收支平衡情况</w:t>
      </w:r>
    </w:p>
    <w:p>
      <w:pPr>
        <w:pStyle w:val="4"/>
        <w:spacing w:before="214" w:line="364" w:lineRule="auto"/>
        <w:ind w:right="120" w:firstLine="834"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1"/>
          <w:sz w:val="32"/>
          <w:szCs w:val="32"/>
          <w:lang w:eastAsia="zh-CN"/>
        </w:rPr>
        <w:t>政府性基金预算收入</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16653万元，占年初预算的333.06%，同比增长213.2%，增收11336万元。其中：政府性基金收入15950万元，</w:t>
      </w:r>
      <w:r>
        <w:rPr>
          <w:rFonts w:hint="eastAsia" w:ascii="仿宋_GB2312" w:hAnsi="仿宋_GB2312" w:eastAsia="仿宋_GB2312" w:cs="仿宋_GB2312"/>
          <w:spacing w:val="-15"/>
          <w:sz w:val="32"/>
          <w:szCs w:val="32"/>
          <w:lang w:val="en-US" w:eastAsia="zh-CN"/>
        </w:rPr>
        <w:t>同比增长199.98%，增收10633万元；专项债券对应项目专项收入完成703万元，同比增长100%，增收703万元。</w:t>
      </w:r>
    </w:p>
    <w:p>
      <w:pPr>
        <w:pStyle w:val="3"/>
        <w:spacing w:before="10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val="en-US" w:eastAsia="zh-CN"/>
        </w:rPr>
        <w:t>公共财政预算收支平衡情况</w:t>
      </w:r>
    </w:p>
    <w:p>
      <w:pPr>
        <w:pStyle w:val="3"/>
        <w:keepNext w:val="0"/>
        <w:keepLines w:val="0"/>
        <w:pageBreakBefore w:val="0"/>
        <w:widowControl w:val="0"/>
        <w:kinsoku/>
        <w:wordWrap/>
        <w:overflowPunct/>
        <w:topLinePunct w:val="0"/>
        <w:autoSpaceDE w:val="0"/>
        <w:autoSpaceDN w:val="0"/>
        <w:bidi w:val="0"/>
        <w:adjustRightInd/>
        <w:snapToGrid/>
        <w:spacing w:before="214" w:line="365" w:lineRule="auto"/>
        <w:ind w:left="108" w:right="44" w:rightChars="20" w:firstLine="834" w:firstLineChars="300"/>
        <w:textAlignment w:val="auto"/>
        <w:rPr>
          <w:rFonts w:hint="eastAsia" w:ascii="仿宋_GB2312" w:hAnsi="仿宋_GB2312" w:eastAsia="仿宋_GB2312" w:cs="仿宋_GB2312"/>
          <w:b w:val="0"/>
          <w:bCs w:val="0"/>
          <w:spacing w:val="-21"/>
          <w:sz w:val="32"/>
          <w:szCs w:val="32"/>
          <w:lang w:val="en-US" w:eastAsia="zh-CN" w:bidi="zh-CN"/>
        </w:rPr>
      </w:pPr>
      <w:r>
        <w:rPr>
          <w:rFonts w:hint="eastAsia" w:ascii="仿宋_GB2312" w:hAnsi="仿宋_GB2312" w:eastAsia="仿宋_GB2312" w:cs="仿宋_GB2312"/>
          <w:b w:val="0"/>
          <w:bCs w:val="0"/>
          <w:spacing w:val="-21"/>
          <w:sz w:val="32"/>
          <w:szCs w:val="32"/>
          <w:lang w:val="en-US" w:eastAsia="zh-CN" w:bidi="zh-CN"/>
        </w:rPr>
        <w:t>收入方面：今年我县总财力为213924万元。主要包含以下项目：（一）一般公共预算收入44216万元；（二）返还性收入4205万元，其中：所得税基数返还收入66万元，增值税税收返还收入487万元，消费税税收返还收入42万元，增值税“五五分享”税收返还收入3610万元。（三）一般性转移支付收入116826万元，其中：体制补助收入2839万元，均衡性转移支付收入17740万元，县级基本财力保障机制奖补资金收入18805万元，结算补助收入411万元，产粮（油）大县奖励资金收入1122万元，重点生态功能区转移支付收入3604万元，固定数额补助收入16672万元，民族地区转移支付收入406万元，边境地区转移支付收入5632万元，贫困地区转移支付收入4125万元，一般公共服务共同财政事权转移支付收入458万元，国防共同财政事权转移支付收入215万元，公共安全共同财政事权转移支付收入1258万元，教育共同财政事权转移支付收入4367万元，科学技术共同财政事权转移支付收入17万元，文化旅游体育与传媒共同财政事权转移支付收入710万元，社会保障和就业共同财政事权转移支付收入5333万元，医疗卫生共同财政事权转移支付收入3659万元，节能环保共同财政事权转移支付收入2204万元，农林水共同财政事权转移支付收入18435万元，交通运输共同财政事权转移支付收入5144万元，商业服务业等共同财政事权转移支付收入1000万元，住房保障共同财政事权转移支付收入376万元，灾害防治及应急管理共同此案还在哪跟事权转移支付收入193万元，其他一般性转移支付收入2101万元。（四）专项转移支付收入18122万元，其中：一般公共服务872万元，公共安全106万元，教育155万元，科学技术21万元，文化旅游体育与传媒110万元，社会保障和就业61万元，卫生健康1483万元，节能环保181万元，城乡社区4608万元，农林水4700万元，交通运输6万元，资源勘探信息等166万元，商业服务业等6万元，金融19万元，自然资源海洋气象等20万元，住房保障3110万元，灾害防治及应急管理15万元，其他收入2483万元。（五）上年结余资金740万元。（六）调入资金2202万元。（七）债务转贷收入18522万元。（八）动用预算稳定调节基金9091万元。支出方面：全年一般公共预算支出204361，上解上级支出810万元，债务还本支出6203万元，安排预算稳定调节基金2550万元。</w:t>
      </w:r>
    </w:p>
    <w:p>
      <w:pPr>
        <w:ind w:firstLine="425"/>
        <w:rPr>
          <w:rFonts w:hint="eastAsia" w:ascii="仿宋_GB2312" w:hAnsi="仿宋_GB2312" w:eastAsia="仿宋_GB2312" w:cs="仿宋_GB2312"/>
          <w:b/>
          <w:bCs/>
          <w:sz w:val="32"/>
          <w:szCs w:val="32"/>
          <w:lang w:val="en-US" w:eastAsia="zh-CN" w:bidi="zh-CN"/>
        </w:rPr>
      </w:pPr>
      <w:r>
        <w:rPr>
          <w:rFonts w:hint="eastAsia" w:ascii="仿宋_GB2312" w:hAnsi="仿宋_GB2312" w:eastAsia="仿宋_GB2312" w:cs="仿宋_GB2312"/>
          <w:b/>
          <w:bCs/>
          <w:sz w:val="32"/>
          <w:szCs w:val="32"/>
          <w:lang w:val="en-US" w:eastAsia="zh-CN" w:bidi="zh-CN"/>
        </w:rPr>
        <w:t>五</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lang w:val="en-US" w:eastAsia="zh-CN" w:bidi="zh-CN"/>
        </w:rPr>
        <w:t>国有资本经营预算转移性收支情况</w:t>
      </w:r>
    </w:p>
    <w:p>
      <w:pPr>
        <w:ind w:firstLine="425"/>
        <w:rPr>
          <w:rFonts w:hint="default" w:ascii="仿宋_GB2312" w:hAnsi="仿宋_GB2312" w:eastAsia="仿宋_GB2312" w:cs="仿宋_GB2312"/>
          <w:b/>
          <w:bCs/>
          <w:sz w:val="32"/>
          <w:szCs w:val="32"/>
          <w:lang w:val="en-US" w:eastAsia="zh-CN" w:bidi="zh-CN"/>
        </w:rPr>
      </w:pPr>
      <w:r>
        <w:rPr>
          <w:rFonts w:hint="eastAsia" w:ascii="仿宋_GB2312" w:hAnsi="仿宋_GB2312" w:eastAsia="仿宋_GB2312" w:cs="仿宋_GB2312"/>
          <w:b w:val="0"/>
          <w:bCs w:val="0"/>
          <w:spacing w:val="-21"/>
          <w:sz w:val="32"/>
          <w:szCs w:val="32"/>
          <w:lang w:val="en-US" w:eastAsia="zh-CN" w:bidi="zh-CN"/>
        </w:rPr>
        <w:t>2020年，国有资本经营预算收入为2万元，支出国有资本经营预算支出2万元。</w:t>
      </w:r>
    </w:p>
    <w:p>
      <w:pPr>
        <w:ind w:firstLine="482" w:firstLineChars="150"/>
        <w:rPr>
          <w:rFonts w:hint="eastAsia" w:ascii="仿宋_GB2312" w:hAnsi="仿宋_GB2312" w:eastAsia="仿宋_GB2312" w:cs="仿宋_GB2312"/>
          <w:b/>
          <w:bCs/>
          <w:sz w:val="32"/>
          <w:szCs w:val="32"/>
          <w:lang w:val="en-US" w:eastAsia="zh-CN" w:bidi="zh-CN"/>
        </w:rPr>
      </w:pPr>
      <w:r>
        <w:rPr>
          <w:rFonts w:hint="eastAsia" w:ascii="仿宋_GB2312" w:hAnsi="仿宋_GB2312" w:eastAsia="仿宋_GB2312" w:cs="仿宋_GB2312"/>
          <w:b/>
          <w:bCs/>
          <w:sz w:val="32"/>
          <w:szCs w:val="32"/>
          <w:lang w:val="en-US" w:eastAsia="zh-CN" w:bidi="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lang w:val="en-US" w:eastAsia="zh-CN" w:bidi="zh-CN"/>
        </w:rPr>
        <w:t>财政供养人员变动情况</w:t>
      </w:r>
    </w:p>
    <w:p>
      <w:pPr>
        <w:keepNext w:val="0"/>
        <w:keepLines w:val="0"/>
        <w:pageBreakBefore w:val="0"/>
        <w:widowControl w:val="0"/>
        <w:kinsoku/>
        <w:wordWrap/>
        <w:overflowPunct/>
        <w:topLinePunct w:val="0"/>
        <w:autoSpaceDE w:val="0"/>
        <w:autoSpaceDN w:val="0"/>
        <w:bidi w:val="0"/>
        <w:adjustRightInd/>
        <w:snapToGrid/>
        <w:spacing w:line="360" w:lineRule="auto"/>
        <w:ind w:firstLine="417" w:firstLineChars="150"/>
        <w:textAlignment w:val="auto"/>
        <w:rPr>
          <w:rFonts w:hint="eastAsia" w:ascii="仿宋_GB2312" w:hAnsi="仿宋_GB2312" w:eastAsia="仿宋_GB2312" w:cs="仿宋_GB2312"/>
          <w:b w:val="0"/>
          <w:bCs w:val="0"/>
          <w:spacing w:val="-21"/>
          <w:sz w:val="32"/>
          <w:szCs w:val="32"/>
          <w:lang w:val="en-US" w:eastAsia="zh-CN" w:bidi="zh-CN"/>
        </w:rPr>
      </w:pPr>
      <w:r>
        <w:rPr>
          <w:rFonts w:hint="eastAsia" w:ascii="仿宋_GB2312" w:hAnsi="仿宋_GB2312" w:eastAsia="仿宋_GB2312" w:cs="仿宋_GB2312"/>
          <w:b w:val="0"/>
          <w:bCs w:val="0"/>
          <w:spacing w:val="-21"/>
          <w:sz w:val="32"/>
          <w:szCs w:val="32"/>
          <w:lang w:val="en-US" w:eastAsia="zh-CN" w:bidi="zh-CN"/>
        </w:rPr>
        <w:t>2020年，年末独立编制机构数171个，独立核算机构数109个。年末在职人数4243人，退休人员2人。其中：一般公共预算财政拨款开支人员在职4239人（行政人员980人，参照公务员法管理事业人员193人，非参公事业人员3064人），退休人员2人，经费自理人数6人。年末其他人员共1216人，其中一般公共预算财政拨款开支人员1012人。年末学生人数7866人，年末遗属人员126人。</w:t>
      </w:r>
    </w:p>
    <w:p>
      <w:pPr>
        <w:ind w:firstLine="425"/>
        <w:rPr>
          <w:rFonts w:hint="eastAsia" w:ascii="仿宋_GB2312" w:hAnsi="仿宋_GB2312" w:eastAsia="仿宋_GB2312" w:cs="仿宋_GB2312"/>
          <w:b/>
          <w:bCs/>
          <w:sz w:val="32"/>
          <w:szCs w:val="32"/>
          <w:lang w:val="en-US" w:eastAsia="zh-CN" w:bidi="zh-CN"/>
        </w:rPr>
      </w:pPr>
      <w:r>
        <w:rPr>
          <w:rFonts w:hint="eastAsia" w:ascii="仿宋_GB2312" w:hAnsi="仿宋_GB2312" w:eastAsia="仿宋_GB2312" w:cs="仿宋_GB2312"/>
          <w:b/>
          <w:bCs/>
          <w:sz w:val="32"/>
          <w:szCs w:val="32"/>
          <w:lang w:val="en-US" w:eastAsia="zh-CN" w:bidi="zh-CN"/>
        </w:rPr>
        <w:t>七、财政预算执行中存在的问题</w:t>
      </w:r>
    </w:p>
    <w:p>
      <w:pPr>
        <w:keepNext w:val="0"/>
        <w:keepLines w:val="0"/>
        <w:pageBreakBefore w:val="0"/>
        <w:widowControl w:val="0"/>
        <w:kinsoku/>
        <w:wordWrap/>
        <w:overflowPunct/>
        <w:topLinePunct w:val="0"/>
        <w:autoSpaceDE w:val="0"/>
        <w:autoSpaceDN w:val="0"/>
        <w:bidi w:val="0"/>
        <w:adjustRightInd/>
        <w:snapToGrid/>
        <w:spacing w:line="360" w:lineRule="auto"/>
        <w:ind w:firstLine="556" w:firstLineChars="200"/>
        <w:textAlignment w:val="auto"/>
        <w:rPr>
          <w:rFonts w:hint="eastAsia" w:ascii="仿宋_GB2312" w:hAnsi="仿宋_GB2312" w:eastAsia="仿宋_GB2312" w:cs="仿宋_GB2312"/>
          <w:b w:val="0"/>
          <w:bCs w:val="0"/>
          <w:spacing w:val="-21"/>
          <w:sz w:val="32"/>
          <w:szCs w:val="32"/>
          <w:lang w:val="en-US" w:eastAsia="zh-CN" w:bidi="zh-CN"/>
        </w:rPr>
      </w:pPr>
      <w:r>
        <w:rPr>
          <w:rFonts w:hint="eastAsia" w:ascii="仿宋_GB2312" w:hAnsi="仿宋_GB2312" w:eastAsia="仿宋_GB2312" w:cs="仿宋_GB2312"/>
          <w:b w:val="0"/>
          <w:bCs w:val="0"/>
          <w:spacing w:val="-21"/>
          <w:sz w:val="32"/>
          <w:szCs w:val="32"/>
          <w:lang w:val="en-US" w:eastAsia="zh-CN" w:bidi="zh-CN"/>
        </w:rPr>
        <w:t>2020年，财政预算执行总体平稳，财政收入保持稳步增长，但运行中也存在不容忽视和亟待解决的问题，主要表现在：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val="0"/>
          <w:bCs w:val="0"/>
          <w:spacing w:val="-21"/>
          <w:sz w:val="32"/>
          <w:szCs w:val="32"/>
          <w:lang w:val="en-US" w:eastAsia="zh-CN" w:bidi="zh-CN"/>
        </w:rPr>
      </w:pPr>
      <w:r>
        <w:rPr>
          <w:rFonts w:hint="eastAsia" w:ascii="仿宋_GB2312" w:hAnsi="仿宋_GB2312" w:eastAsia="仿宋_GB2312" w:cs="仿宋_GB2312"/>
          <w:b w:val="0"/>
          <w:bCs w:val="0"/>
          <w:spacing w:val="-21"/>
          <w:sz w:val="32"/>
          <w:szCs w:val="32"/>
          <w:lang w:val="en-US" w:eastAsia="zh-CN" w:bidi="zh-CN"/>
        </w:rPr>
        <w:t>1、公共财政预算收入中一次性税收所占比重较大，且税收收入对煤炭、建安行业依赖性强，重点税源单一，财政增收难度加大。2020年税收入比重67.2%，非税收入32.8%，财政综合可用财力较少，所以我县财政实力仍然薄弱。2、财政支出快速增长，收支矛盾更加突出。增人增资、发放绩效考核奖金以及提高相关人员收入待遇，新农村建设，城市建设，农业补贴、政府贷款还本付息等经济社会发展的资金需求大幅增长，收支矛盾十分突出，我们只能一方面加强预算管理、勤俭节约、严格控制超预算支出，另一方面努力争取超收和上级增加财力性转移支付来化解目前的财政困难。</w:t>
      </w:r>
    </w:p>
    <w:p>
      <w:pPr>
        <w:numPr>
          <w:ilvl w:val="0"/>
          <w:numId w:val="0"/>
        </w:numPr>
        <w:ind w:firstLine="321" w:firstLineChars="100"/>
        <w:jc w:val="both"/>
        <w:rPr>
          <w:rFonts w:hint="eastAsia" w:ascii="仿宋_GB2312" w:hAnsi="仿宋_GB2312" w:eastAsia="仿宋_GB2312" w:cs="仿宋_GB2312"/>
          <w:b w:val="0"/>
          <w:bCs w:val="0"/>
          <w:spacing w:val="-21"/>
          <w:sz w:val="32"/>
          <w:szCs w:val="32"/>
          <w:lang w:val="en-US" w:eastAsia="zh-CN" w:bidi="zh-CN"/>
        </w:rPr>
      </w:pPr>
      <w:r>
        <w:rPr>
          <w:rFonts w:hint="eastAsia" w:ascii="仿宋_GB2312" w:hAnsi="仿宋_GB2312" w:eastAsia="仿宋_GB2312" w:cs="仿宋_GB2312"/>
          <w:b/>
          <w:bCs/>
          <w:sz w:val="32"/>
          <w:szCs w:val="32"/>
          <w:lang w:val="en-US" w:eastAsia="zh-CN" w:bidi="zh-CN"/>
        </w:rPr>
        <w:t>八、2020年主要做法和措施</w:t>
      </w:r>
    </w:p>
    <w:p>
      <w:pPr>
        <w:pStyle w:val="4"/>
        <w:spacing w:before="214" w:line="364" w:lineRule="auto"/>
        <w:ind w:right="120" w:firstLine="834" w:firstLineChars="300"/>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21"/>
          <w:sz w:val="32"/>
          <w:szCs w:val="32"/>
          <w:lang w:val="en-US" w:eastAsia="zh-CN" w:bidi="zh-CN"/>
        </w:rPr>
        <w:t>一是积极推动信息共享，收集自然资源局、草监所、税务等部门的风光电项目审批、土地审批、工程建设、注册登记等信息，进一步提高税源监控能力，强化部门联动，为下一步精准测算税额，确保应收尽收奠定坚实基础。二是压实非税收入征管部门责任，狠抓非税收入征缴，强化各类资源类资产类非税收入征收，严格非税收入依法规范征管，积极与执收单位对接，实现即收即缴。在落实减税降费政策、支持中小微企业发展的同时，坚持组织收入原则，做到应减尽减，应收尽收。努力把疫情影响降到最低，积极作为，攻坚克难，挖潜增收，为统筹做好疫情防控和支持经济社会发展提供坚实的财力保障。</w:t>
      </w:r>
      <w:r>
        <w:rPr>
          <w:rFonts w:hint="eastAsia" w:ascii="仿宋_GB2312" w:hAnsi="仿宋_GB2312" w:eastAsia="仿宋_GB2312" w:cs="仿宋_GB2312"/>
          <w:spacing w:val="-21"/>
          <w:sz w:val="32"/>
          <w:szCs w:val="32"/>
          <w:lang w:val="en-US" w:eastAsia="zh-CN"/>
        </w:rPr>
        <w:t>三，扎实做好“六稳”工作，全面落实“六保”任务，确保重点支出。一是明确报基本</w:t>
      </w:r>
      <w:r>
        <w:rPr>
          <w:rFonts w:hint="eastAsia" w:ascii="仿宋_GB2312" w:hAnsi="仿宋_GB2312" w:eastAsia="仿宋_GB2312" w:cs="仿宋_GB2312"/>
          <w:sz w:val="32"/>
          <w:szCs w:val="32"/>
        </w:rPr>
        <w:t>民生、保基层运转。我们通过积极组织财政收入、挖掘增收潜力、争取上级转移支付资金等有力措施，确保“六保”工作落实到位。</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，强化支出管理，积极稳妥改革。一是继续深化部门预算改革。切实加强预算执行力度，深化财政预算公开， </w:t>
      </w:r>
      <w:r>
        <w:rPr>
          <w:rFonts w:hint="eastAsia" w:ascii="仿宋_GB2312" w:hAnsi="仿宋_GB2312" w:eastAsia="仿宋_GB2312" w:cs="仿宋_GB2312"/>
          <w:spacing w:val="-8"/>
          <w:w w:val="95"/>
          <w:sz w:val="32"/>
          <w:szCs w:val="32"/>
        </w:rPr>
        <w:t>进一步提高预算编制的科学性、完整性、严谨性和透明度。二是稳步推进国库集中支付制度改革。进一步健全相关制度</w:t>
      </w:r>
      <w:r>
        <w:rPr>
          <w:rFonts w:hint="eastAsia" w:ascii="仿宋_GB2312" w:hAnsi="仿宋_GB2312" w:eastAsia="仿宋_GB2312" w:cs="仿宋_GB2312"/>
          <w:spacing w:val="-8"/>
          <w:w w:val="95"/>
          <w:sz w:val="32"/>
          <w:szCs w:val="32"/>
          <w:lang w:val="en-US"/>
        </w:rPr>
        <w:t>,</w:t>
      </w:r>
      <w:r>
        <w:rPr>
          <w:rFonts w:hint="eastAsia" w:ascii="仿宋_GB2312" w:hAnsi="仿宋_GB2312" w:eastAsia="仿宋_GB2312" w:cs="仿宋_GB2312"/>
          <w:spacing w:val="-8"/>
          <w:sz w:val="32"/>
          <w:szCs w:val="32"/>
        </w:rPr>
        <w:t>简化操作规程，不断提高财政资金使用效率，三是进一步规范政府采购行为。</w:t>
      </w:r>
    </w:p>
    <w:sectPr>
      <w:footerReference r:id="rId3" w:type="default"/>
      <w:pgSz w:w="20640" w:h="14580" w:orient="landscape"/>
      <w:pgMar w:top="1360" w:right="1420" w:bottom="1180" w:left="2160" w:header="0" w:footer="98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557888" behindDoc="1" locked="0" layoutInCell="1" allowOverlap="1">
              <wp:simplePos x="0" y="0"/>
              <wp:positionH relativeFrom="page">
                <wp:posOffset>6593840</wp:posOffset>
              </wp:positionH>
              <wp:positionV relativeFrom="page">
                <wp:posOffset>8485505</wp:posOffset>
              </wp:positionV>
              <wp:extent cx="277495"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7495" cy="194310"/>
                      </a:xfrm>
                      <a:prstGeom prst="rect">
                        <a:avLst/>
                      </a:prstGeom>
                      <a:noFill/>
                      <a:ln>
                        <a:noFill/>
                      </a:ln>
                    </wps:spPr>
                    <wps:txbx>
                      <w:txbxContent>
                        <w:p>
                          <w:pPr>
                            <w:spacing w:before="10"/>
                            <w:ind w:left="20" w:right="0" w:firstLine="0"/>
                            <w:jc w:val="left"/>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519.2pt;margin-top:668.15pt;height:15.3pt;width:21.85pt;mso-position-horizontal-relative:page;mso-position-vertical-relative:page;z-index:-251758592;mso-width-relative:page;mso-height-relative:page;" filled="f" stroked="f" coordsize="21600,21600" o:gfxdata="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B73X2wAAAA8BAAAPAAAAAAAAAAEAIAAAACIAAABkcnMvZG93bnJldi54bWxQ&#10;SwECFAAUAAAACACHTuJA/7YLSrsBAABxAwAADgAAAAAAAAABACAAAAAqAQAAZHJzL2Uyb0RvYy54&#10;bWxQSwUGAAAAAAYABgBZAQAAVwUAAAAA&#10;">
              <v:fill on="f" focussize="0,0"/>
              <v:stroke on="f"/>
              <v:imagedata o:title=""/>
              <o:lock v:ext="edit" aspectratio="f"/>
              <v:textbox inset="0mm,0mm,0mm,0mm">
                <w:txbxContent>
                  <w:p>
                    <w:pPr>
                      <w:spacing w:before="10"/>
                      <w:ind w:left="20" w:right="0" w:firstLine="0"/>
                      <w:jc w:val="left"/>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26EA9"/>
    <w:rsid w:val="024C6789"/>
    <w:rsid w:val="0C532190"/>
    <w:rsid w:val="10CB4651"/>
    <w:rsid w:val="14790D86"/>
    <w:rsid w:val="196F2FCA"/>
    <w:rsid w:val="1D8642EF"/>
    <w:rsid w:val="1EAA7E2A"/>
    <w:rsid w:val="220E0296"/>
    <w:rsid w:val="24AA536B"/>
    <w:rsid w:val="25D85AAB"/>
    <w:rsid w:val="28EC4549"/>
    <w:rsid w:val="2B2170AB"/>
    <w:rsid w:val="2F27636D"/>
    <w:rsid w:val="31EA796F"/>
    <w:rsid w:val="38DC7652"/>
    <w:rsid w:val="3B49447A"/>
    <w:rsid w:val="46371560"/>
    <w:rsid w:val="4C355CE6"/>
    <w:rsid w:val="4EC26082"/>
    <w:rsid w:val="53021482"/>
    <w:rsid w:val="5A9D0E1E"/>
    <w:rsid w:val="5ED14431"/>
    <w:rsid w:val="62AE5CA6"/>
    <w:rsid w:val="6A9E7117"/>
    <w:rsid w:val="6C01358F"/>
    <w:rsid w:val="6D3243BB"/>
    <w:rsid w:val="734463A0"/>
    <w:rsid w:val="73AC7CD2"/>
    <w:rsid w:val="74335571"/>
    <w:rsid w:val="7CC77267"/>
    <w:rsid w:val="7DDC2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34"/>
      <w:ind w:left="5065" w:right="5235"/>
      <w:jc w:val="center"/>
      <w:outlineLvl w:val="1"/>
    </w:pPr>
    <w:rPr>
      <w:rFonts w:ascii="宋体" w:hAnsi="宋体" w:eastAsia="宋体" w:cs="宋体"/>
      <w:sz w:val="48"/>
      <w:szCs w:val="48"/>
      <w:lang w:val="zh-CN" w:eastAsia="zh-CN" w:bidi="zh-CN"/>
    </w:rPr>
  </w:style>
  <w:style w:type="paragraph" w:styleId="3">
    <w:name w:val="heading 2"/>
    <w:basedOn w:val="1"/>
    <w:next w:val="1"/>
    <w:qFormat/>
    <w:uiPriority w:val="1"/>
    <w:pPr>
      <w:ind w:left="748"/>
      <w:outlineLvl w:val="2"/>
    </w:pPr>
    <w:rPr>
      <w:rFonts w:ascii="微软雅黑" w:hAnsi="微软雅黑" w:eastAsia="微软雅黑" w:cs="微软雅黑"/>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8"/>
    </w:pPr>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2021-04-06T07:23:00Z</dcterms:created>
  <dc:creator>XXZX</dc:creator>
  <cp:lastModifiedBy>颜川</cp:lastModifiedBy>
  <dcterms:modified xsi:type="dcterms:W3CDTF">2021-04-07T06:46:42Z</dcterms:modified>
  <dc:title>    沁水县财政局_C 0 0九年财政总决算编报分析    2 009年是贯彻落实十七大、十七届三中、’四中全会的关键年，在过去的一年中，在县委、县政府的领导下，在上级财政部门的指导下，以科学发展观统领财政工作全局，以建立经济强县为目标，认真落实积极的财政政策，支持国有企业改革，努力增加财政收入，积极稳妥推进财政改革，整顿和规范财经秩序，强化财政管理，大力调整支出结构，保稳定，保改革，促发展，保平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WPS 文字</vt:lpwstr>
  </property>
  <property fmtid="{D5CDD505-2E9C-101B-9397-08002B2CF9AE}" pid="4" name="LastSaved">
    <vt:filetime>2021-04-06T00:00:00Z</vt:filetime>
  </property>
  <property fmtid="{D5CDD505-2E9C-101B-9397-08002B2CF9AE}" pid="5" name="KSOProductBuildVer">
    <vt:lpwstr>2052-11.1.0.10314</vt:lpwstr>
  </property>
</Properties>
</file>