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="方正小标宋_GBK" w:hAnsi="微软雅黑" w:eastAsia="方正小标宋_GBK" w:cs="宋体"/>
          <w:b/>
          <w:bCs/>
          <w:color w:val="333333"/>
          <w:kern w:val="0"/>
          <w:sz w:val="44"/>
          <w:szCs w:val="44"/>
        </w:rPr>
      </w:pPr>
    </w:p>
    <w:p>
      <w:pPr>
        <w:widowControl/>
        <w:shd w:val="clear" w:color="auto" w:fill="FFFFFF"/>
        <w:spacing w:line="560" w:lineRule="exact"/>
        <w:jc w:val="center"/>
        <w:rPr>
          <w:rFonts w:ascii="方正小标宋_GBK" w:hAnsi="微软雅黑" w:eastAsia="方正小标宋_GBK" w:cs="宋体"/>
          <w:b/>
          <w:bCs/>
          <w:color w:val="333333"/>
          <w:kern w:val="0"/>
          <w:sz w:val="44"/>
          <w:szCs w:val="44"/>
        </w:rPr>
      </w:pPr>
      <w:r>
        <w:rPr>
          <w:rFonts w:hint="eastAsia" w:ascii="方正小标宋_GBK" w:hAnsi="微软雅黑" w:eastAsia="方正小标宋_GBK" w:cs="宋体"/>
          <w:b/>
          <w:bCs/>
          <w:color w:val="333333"/>
          <w:kern w:val="0"/>
          <w:sz w:val="44"/>
          <w:szCs w:val="44"/>
        </w:rPr>
        <w:t>关于2021年</w:t>
      </w:r>
      <w:r>
        <w:rPr>
          <w:rFonts w:hint="eastAsia" w:ascii="方正小标宋_GBK" w:hAnsi="微软雅黑" w:eastAsia="方正小标宋_GBK" w:cs="宋体"/>
          <w:b/>
          <w:bCs/>
          <w:color w:val="333333"/>
          <w:kern w:val="0"/>
          <w:sz w:val="44"/>
          <w:szCs w:val="44"/>
          <w:lang w:val="en-US" w:eastAsia="zh-CN"/>
        </w:rPr>
        <w:t>木垒县</w:t>
      </w:r>
      <w:r>
        <w:rPr>
          <w:rFonts w:hint="eastAsia" w:ascii="方正小标宋_GBK" w:hAnsi="微软雅黑" w:eastAsia="方正小标宋_GBK" w:cs="宋体"/>
          <w:b/>
          <w:bCs/>
          <w:color w:val="333333"/>
          <w:kern w:val="0"/>
          <w:sz w:val="44"/>
          <w:szCs w:val="44"/>
        </w:rPr>
        <w:t>转移支付</w:t>
      </w:r>
      <w:r>
        <w:rPr>
          <w:rFonts w:hint="eastAsia" w:ascii="方正小标宋_GBK" w:hAnsi="微软雅黑" w:eastAsia="方正小标宋_GBK" w:cs="宋体"/>
          <w:b/>
          <w:bCs/>
          <w:color w:val="333333"/>
          <w:kern w:val="0"/>
          <w:sz w:val="44"/>
          <w:szCs w:val="44"/>
          <w:lang w:val="en-US" w:eastAsia="zh-CN"/>
        </w:rPr>
        <w:t>分项目</w:t>
      </w:r>
      <w:bookmarkStart w:id="0" w:name="_GoBack"/>
      <w:bookmarkEnd w:id="0"/>
      <w:r>
        <w:rPr>
          <w:rFonts w:hint="eastAsia" w:ascii="方正小标宋_GBK" w:hAnsi="微软雅黑" w:eastAsia="方正小标宋_GBK" w:cs="宋体"/>
          <w:b/>
          <w:bCs/>
          <w:color w:val="333333"/>
          <w:kern w:val="0"/>
          <w:sz w:val="44"/>
          <w:szCs w:val="44"/>
        </w:rPr>
        <w:t>情况</w:t>
      </w:r>
    </w:p>
    <w:p>
      <w:pPr>
        <w:widowControl/>
        <w:shd w:val="clear" w:color="auto" w:fill="FFFFFF"/>
        <w:spacing w:line="560" w:lineRule="exact"/>
        <w:jc w:val="center"/>
        <w:rPr>
          <w:rFonts w:ascii="方正小标宋_GBK" w:hAnsi="微软雅黑" w:eastAsia="方正小标宋_GBK" w:cs="宋体"/>
          <w:b/>
          <w:bCs/>
          <w:color w:val="333333"/>
          <w:kern w:val="0"/>
          <w:sz w:val="44"/>
          <w:szCs w:val="44"/>
        </w:rPr>
      </w:pPr>
      <w:r>
        <w:rPr>
          <w:rFonts w:hint="eastAsia" w:ascii="方正小标宋_GBK" w:hAnsi="微软雅黑" w:eastAsia="方正小标宋_GBK" w:cs="宋体"/>
          <w:b/>
          <w:bCs/>
          <w:color w:val="333333"/>
          <w:kern w:val="0"/>
          <w:sz w:val="44"/>
          <w:szCs w:val="44"/>
        </w:rPr>
        <w:t>说明</w:t>
      </w:r>
    </w:p>
    <w:p>
      <w:pPr>
        <w:widowControl/>
        <w:shd w:val="clear" w:color="auto" w:fill="FFFFFF"/>
        <w:spacing w:line="560" w:lineRule="exact"/>
        <w:ind w:firstLine="480"/>
        <w:jc w:val="left"/>
        <w:rPr>
          <w:rFonts w:ascii="宋体" w:hAnsi="宋体" w:eastAsia="宋体" w:cs="宋体"/>
          <w:color w:val="2B2B2B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宋体" w:eastAsia="仿宋_GB2312" w:cs="宋体"/>
          <w:color w:val="2B2B2B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木垒县</w:t>
      </w:r>
      <w:r>
        <w:rPr>
          <w:rFonts w:hint="eastAsia" w:ascii="仿宋" w:hAnsi="仿宋" w:eastAsia="仿宋"/>
          <w:sz w:val="32"/>
          <w:szCs w:val="32"/>
          <w:highlight w:val="none"/>
        </w:rPr>
        <w:t>第十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  <w:highlight w:val="none"/>
        </w:rPr>
        <w:t>届人大</w:t>
      </w:r>
      <w:r>
        <w:rPr>
          <w:rFonts w:ascii="仿宋" w:hAnsi="仿宋" w:eastAsia="仿宋"/>
          <w:sz w:val="32"/>
          <w:szCs w:val="32"/>
          <w:highlight w:val="none"/>
        </w:rPr>
        <w:t>常委会</w:t>
      </w:r>
      <w:r>
        <w:rPr>
          <w:rFonts w:hint="eastAsia" w:ascii="仿宋" w:hAnsi="仿宋" w:eastAsia="仿宋"/>
          <w:sz w:val="32"/>
          <w:szCs w:val="32"/>
          <w:highlight w:val="none"/>
        </w:rPr>
        <w:t>第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  <w:highlight w:val="none"/>
        </w:rPr>
        <w:t>次会议于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" w:hAnsi="仿宋" w:eastAsia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仿宋" w:hAnsi="仿宋" w:eastAsia="仿宋"/>
          <w:sz w:val="32"/>
          <w:szCs w:val="32"/>
          <w:highlight w:val="none"/>
        </w:rPr>
        <w:t>日批准了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" w:hAnsi="仿宋" w:eastAsia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木垒县财政</w:t>
      </w:r>
      <w:r>
        <w:rPr>
          <w:rFonts w:ascii="仿宋" w:hAnsi="仿宋" w:eastAsia="仿宋"/>
          <w:sz w:val="32"/>
          <w:szCs w:val="32"/>
          <w:highlight w:val="none"/>
        </w:rPr>
        <w:t>决算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草案</w:t>
      </w:r>
      <w:r>
        <w:rPr>
          <w:rFonts w:ascii="仿宋" w:hAnsi="仿宋" w:eastAsia="仿宋"/>
          <w:sz w:val="32"/>
          <w:szCs w:val="32"/>
          <w:highlight w:val="none"/>
        </w:rPr>
        <w:t>。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根据《预算法》规定和国务院、财政部和自治区财政厅关于预算公开的有关要求，现将2021年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木垒县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转移支付执行情况说明如下：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黑体" w:hAnsi="黑体" w:eastAsia="黑体" w:cs="宋体"/>
          <w:color w:val="2B2B2B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2B2B2B"/>
          <w:kern w:val="0"/>
          <w:sz w:val="32"/>
          <w:szCs w:val="32"/>
        </w:rPr>
        <w:t>一、关于自治</w:t>
      </w:r>
      <w:r>
        <w:rPr>
          <w:rFonts w:hint="eastAsia" w:ascii="黑体" w:hAnsi="黑体" w:eastAsia="黑体" w:cs="宋体"/>
          <w:color w:val="2B2B2B"/>
          <w:kern w:val="0"/>
          <w:sz w:val="32"/>
          <w:szCs w:val="32"/>
          <w:lang w:val="en-US" w:eastAsia="zh-CN"/>
        </w:rPr>
        <w:t>州</w:t>
      </w:r>
      <w:r>
        <w:rPr>
          <w:rFonts w:hint="eastAsia" w:ascii="黑体" w:hAnsi="黑体" w:eastAsia="黑体" w:cs="宋体"/>
          <w:color w:val="2B2B2B"/>
          <w:kern w:val="0"/>
          <w:sz w:val="32"/>
          <w:szCs w:val="32"/>
        </w:rPr>
        <w:t>财政对</w:t>
      </w:r>
      <w:r>
        <w:rPr>
          <w:rFonts w:hint="eastAsia" w:ascii="黑体" w:hAnsi="黑体" w:eastAsia="黑体" w:cs="宋体"/>
          <w:color w:val="2B2B2B"/>
          <w:kern w:val="0"/>
          <w:sz w:val="32"/>
          <w:szCs w:val="32"/>
          <w:lang w:val="en-US" w:eastAsia="zh-CN"/>
        </w:rPr>
        <w:t>木垒县</w:t>
      </w:r>
      <w:r>
        <w:rPr>
          <w:rFonts w:hint="eastAsia" w:ascii="黑体" w:hAnsi="黑体" w:eastAsia="黑体" w:cs="宋体"/>
          <w:color w:val="2B2B2B"/>
          <w:kern w:val="0"/>
          <w:sz w:val="32"/>
          <w:szCs w:val="32"/>
        </w:rPr>
        <w:t>转移支付情况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宋体" w:eastAsia="仿宋_GB2312" w:cs="宋体"/>
          <w:color w:val="2B2B2B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2021年，自治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州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财政对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木垒县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一般公共预算转移支付补助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142716万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元，比2020年增加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3563万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元，增长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2.56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%。其中：返还性收入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4095五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元，比2020年减少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110万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元，下降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2.62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%；一般性转移支付收入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117224万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元，比2020年增加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398万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元，增长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0.34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%；专项转移支付收入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21397万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元，比2020年增加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3275万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元，增长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18.07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%。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宋体" w:eastAsia="仿宋_GB2312" w:cs="宋体"/>
          <w:color w:val="2B2B2B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政府性基金转移支付收入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929万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元，比2020年减少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11872万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元，下降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92.74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%，大幅下降的原因主要是自治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州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2020年下达我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县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抗疫国债项目资金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12000万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元，此项资金列入政府性基金转移支付收入中，2021年无此项资金。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宋体" w:eastAsia="仿宋_GB2312" w:cs="宋体"/>
          <w:color w:val="2B2B2B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国有资本经营预算转移支付收入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万元，比2020年增加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%。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具体项目明细：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color w:val="2B2B2B"/>
          <w:kern w:val="0"/>
          <w:sz w:val="28"/>
          <w:szCs w:val="28"/>
        </w:rPr>
      </w:pPr>
    </w:p>
    <w:p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ascii="仿宋_GB2312" w:hAnsi="宋体" w:eastAsia="仿宋_GB2312" w:cs="宋体"/>
          <w:color w:val="2B2B2B"/>
          <w:kern w:val="0"/>
          <w:sz w:val="28"/>
          <w:szCs w:val="28"/>
        </w:rPr>
      </w:pPr>
    </w:p>
    <w:tbl>
      <w:tblPr>
        <w:tblStyle w:val="4"/>
        <w:tblW w:w="823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962"/>
        <w:gridCol w:w="226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仿宋_GB2312" w:hAnsi="宋体" w:eastAsia="仿宋_GB2312" w:cs="宋体"/>
                <w:color w:val="2B2B2B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2B2B2B"/>
                <w:kern w:val="0"/>
                <w:sz w:val="24"/>
                <w:szCs w:val="24"/>
              </w:rPr>
              <w:t>项目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50" w:lineRule="atLeast"/>
              <w:jc w:val="right"/>
              <w:rPr>
                <w:rFonts w:ascii="仿宋_GB2312" w:hAnsi="宋体" w:eastAsia="仿宋_GB2312" w:cs="宋体"/>
                <w:color w:val="2B2B2B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2B2B2B"/>
                <w:kern w:val="0"/>
                <w:sz w:val="24"/>
                <w:szCs w:val="24"/>
              </w:rPr>
              <w:t>决算数（单位:万元）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一般公共预算转移支付收入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142716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240" w:firstLineChars="1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返还性收入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4095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所得税基数返还收入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66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增值税税收返还收入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487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消费税税收返还收入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42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增值税“五五分享”税收返还收入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3500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其他返还性收入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2B2B2B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240" w:firstLineChars="1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一般性转移支付收入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117224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体制补助收入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2892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均衡性转移支付收入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15390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县级基本财力保障机制奖补资金收入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14204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结算补助收入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731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企业事业单位划转补助收入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2B2B2B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产粮(油)大县奖励资金收入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1198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重点生态功能区转移支付收入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3404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固定数额补助收入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18050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民族地区转移支付收入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4300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边境地区转移支付收入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6555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贫困地区转移支付收入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4824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一般公共服务共同财政事权转移支付收入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663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国防共同财政事权转移支付收入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2B2B2B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公共安全共同财政事权转移支付收入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1589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教育共同财政事权转移支付收入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4310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科学技术共同财政事权转移支付收入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25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文化旅游体育与传媒共同财政事权转移支付收入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528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社会保障和就业共同财政事权转移支付收入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6566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医疗卫生共同财政事权转移支付收入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1614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节能环保共同财政事权转移支付收入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650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农林水共同财政事权转移支付收入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20369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交通运输共同财政事权转移支付收入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2586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资源勘探信息等共同财政事权转移支付收入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92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自然资源海洋气象等共同财政事权转移支付收入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30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住房保障共同财政事权转移支付收入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813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灾害防治及应急管理共同财政事权转移支付收入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其他共同财政事权转移支付收入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66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其他一般性转移支付收入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  <w:t>5774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240" w:firstLineChars="100"/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专项转移支付收入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default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color w:val="2B2B2B"/>
                <w:sz w:val="24"/>
                <w:szCs w:val="24"/>
                <w:lang w:val="en-US" w:eastAsia="zh-CN"/>
              </w:rPr>
              <w:t>21397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政府性基金转移支付收入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default" w:ascii="宋体" w:hAnsi="宋体" w:eastAsia="宋体" w:cs="宋体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color w:val="2B2B2B"/>
                <w:sz w:val="24"/>
                <w:szCs w:val="24"/>
                <w:lang w:val="en-US" w:eastAsia="zh-CN"/>
              </w:rPr>
              <w:t>929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国有资本经营预算转移支付收入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2B2B2B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color w:val="2B2B2B"/>
                <w:sz w:val="24"/>
                <w:szCs w:val="24"/>
                <w:lang w:val="en-US" w:eastAsia="zh-CN"/>
              </w:rPr>
              <w:t>4</w:t>
            </w:r>
          </w:p>
        </w:tc>
      </w:tr>
    </w:tbl>
    <w:p>
      <w:pPr>
        <w:widowControl/>
        <w:shd w:val="clear" w:color="auto" w:fill="FFFFFF"/>
        <w:spacing w:line="560" w:lineRule="atLeast"/>
        <w:ind w:firstLine="482"/>
        <w:jc w:val="left"/>
        <w:rPr>
          <w:rFonts w:hint="eastAsia" w:ascii="黑体" w:hAnsi="黑体" w:eastAsia="黑体" w:cs="宋体"/>
          <w:color w:val="2B2B2B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atLeast"/>
        <w:ind w:firstLine="482"/>
        <w:jc w:val="left"/>
        <w:rPr>
          <w:rFonts w:hint="eastAsia" w:ascii="黑体" w:hAnsi="黑体" w:eastAsia="黑体" w:cs="宋体"/>
          <w:color w:val="2B2B2B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atLeast"/>
        <w:ind w:firstLine="482"/>
        <w:jc w:val="left"/>
        <w:rPr>
          <w:rFonts w:ascii="黑体" w:hAnsi="黑体" w:eastAsia="黑体" w:cs="宋体"/>
          <w:color w:val="2B2B2B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2B2B2B"/>
          <w:kern w:val="0"/>
          <w:sz w:val="32"/>
          <w:szCs w:val="32"/>
        </w:rPr>
        <w:t>二、关于</w:t>
      </w:r>
      <w:r>
        <w:rPr>
          <w:rFonts w:hint="eastAsia" w:ascii="黑体" w:hAnsi="黑体" w:eastAsia="黑体" w:cs="宋体"/>
          <w:color w:val="2B2B2B"/>
          <w:kern w:val="0"/>
          <w:sz w:val="32"/>
          <w:szCs w:val="32"/>
          <w:lang w:eastAsia="zh-CN"/>
        </w:rPr>
        <w:t>木垒县</w:t>
      </w:r>
      <w:r>
        <w:rPr>
          <w:rFonts w:hint="eastAsia" w:ascii="黑体" w:hAnsi="黑体" w:eastAsia="黑体" w:cs="宋体"/>
          <w:color w:val="2B2B2B"/>
          <w:kern w:val="0"/>
          <w:sz w:val="32"/>
          <w:szCs w:val="32"/>
        </w:rPr>
        <w:t>转移支付情况</w:t>
      </w:r>
    </w:p>
    <w:p>
      <w:pPr>
        <w:widowControl/>
        <w:shd w:val="clear" w:color="auto" w:fill="FFFFFF"/>
        <w:spacing w:line="560" w:lineRule="atLeast"/>
        <w:ind w:firstLine="482"/>
        <w:jc w:val="left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560" w:lineRule="atLeast"/>
        <w:ind w:firstLine="960" w:firstLineChars="300"/>
        <w:jc w:val="left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2021年，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木垒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县税收返还和转移支付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142716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万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元，比2020年增加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3563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万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元，增长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2.56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%。其中：返还性支出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4095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万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元，比2020年减少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110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万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元，下降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2.62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%。一般性转移支付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117224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万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元，比2020年增加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398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万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元，增长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0.34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%。专项转移支付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21397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万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元，比2020年</w:t>
      </w:r>
      <w:r>
        <w:rPr>
          <w:rFonts w:hint="eastAsia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3275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万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元，增长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18.07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%。</w:t>
      </w:r>
    </w:p>
    <w:p>
      <w:pPr>
        <w:widowControl/>
        <w:shd w:val="clear" w:color="auto" w:fill="FFFFFF"/>
        <w:spacing w:line="560" w:lineRule="atLeast"/>
        <w:ind w:firstLine="482"/>
        <w:jc w:val="left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政府性基金转移支付支出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929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万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元，比2020年减少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11872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万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元，下降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92.74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%，大幅下降的主要原因是2020年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上级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下达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县抗疫特别国债资金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12000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万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元，2021年无此项资金。</w:t>
      </w:r>
    </w:p>
    <w:p>
      <w:pPr>
        <w:widowControl/>
        <w:shd w:val="clear" w:color="auto" w:fill="FFFFFF"/>
        <w:spacing w:line="560" w:lineRule="atLeast"/>
        <w:ind w:firstLine="482"/>
        <w:jc w:val="left"/>
        <w:rPr>
          <w:rFonts w:ascii="仿宋_GB2312" w:hAnsi="宋体" w:eastAsia="仿宋_GB2312" w:cs="宋体"/>
          <w:color w:val="2B2B2B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国有资本经营转移支付支出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万元，比2020年增加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万元，增长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%。</w:t>
      </w:r>
    </w:p>
    <w:p>
      <w:pPr>
        <w:widowControl/>
        <w:shd w:val="clear" w:color="auto" w:fill="FFFFFF"/>
        <w:spacing w:line="560" w:lineRule="atLeast"/>
        <w:ind w:firstLine="482"/>
        <w:jc w:val="left"/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atLeast"/>
        <w:ind w:firstLine="482"/>
        <w:jc w:val="left"/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  <w:t>具体项目明细：</w:t>
      </w:r>
    </w:p>
    <w:p>
      <w:pPr>
        <w:widowControl/>
        <w:shd w:val="clear" w:color="auto" w:fill="FFFFFF"/>
        <w:spacing w:line="560" w:lineRule="atLeast"/>
        <w:ind w:firstLine="482"/>
        <w:jc w:val="left"/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atLeast"/>
        <w:ind w:firstLine="482"/>
        <w:jc w:val="left"/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atLeast"/>
        <w:ind w:firstLine="482"/>
        <w:jc w:val="left"/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atLeast"/>
        <w:ind w:firstLine="482"/>
        <w:jc w:val="left"/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atLeast"/>
        <w:ind w:firstLine="482"/>
        <w:jc w:val="left"/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atLeast"/>
        <w:ind w:firstLine="482"/>
        <w:jc w:val="left"/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atLeast"/>
        <w:ind w:firstLine="482"/>
        <w:jc w:val="left"/>
        <w:rPr>
          <w:rFonts w:hint="eastAsia" w:ascii="仿宋_GB2312" w:hAnsi="宋体" w:eastAsia="仿宋_GB2312" w:cs="宋体"/>
          <w:color w:val="2B2B2B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atLeast"/>
        <w:ind w:firstLine="482"/>
        <w:jc w:val="left"/>
        <w:rPr>
          <w:rFonts w:ascii="仿宋_GB2312" w:hAnsi="宋体" w:eastAsia="仿宋_GB2312" w:cs="宋体"/>
          <w:color w:val="2B2B2B"/>
          <w:kern w:val="0"/>
          <w:sz w:val="32"/>
          <w:szCs w:val="32"/>
        </w:rPr>
      </w:pPr>
    </w:p>
    <w:tbl>
      <w:tblPr>
        <w:tblStyle w:val="4"/>
        <w:tblW w:w="823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962"/>
        <w:gridCol w:w="226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仿宋_GB2312" w:hAnsi="宋体" w:eastAsia="仿宋_GB2312" w:cs="宋体"/>
                <w:color w:val="2B2B2B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2B2B2B"/>
                <w:kern w:val="0"/>
                <w:sz w:val="24"/>
                <w:szCs w:val="24"/>
              </w:rPr>
              <w:t>项目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50" w:lineRule="atLeast"/>
              <w:jc w:val="left"/>
              <w:rPr>
                <w:rFonts w:ascii="仿宋_GB2312" w:hAnsi="宋体" w:eastAsia="仿宋_GB2312" w:cs="宋体"/>
                <w:color w:val="2B2B2B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2B2B2B"/>
                <w:kern w:val="0"/>
                <w:sz w:val="24"/>
                <w:szCs w:val="24"/>
              </w:rPr>
              <w:t>决算数（单位:万元）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一般公共预算转移支付支出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142716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240" w:firstLineChars="1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返还性支出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4095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所得税基数返还支出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66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增值税税收返还支出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487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消费税税收返还支出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42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增值税“五五分享”税收返还支出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3500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其他返还性支出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ascii="仿宋_GB2312" w:eastAsia="仿宋_GB2312"/>
                <w:color w:val="2B2B2B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240" w:firstLineChars="1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一般性转移支付支出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117224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体制补助支出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2892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均衡性转移支付支出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15390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县级基本财力保障机制奖补资金支出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14204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结算补助支出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731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企业事业单位划转补助支出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ascii="仿宋_GB2312" w:eastAsia="仿宋_GB2312"/>
                <w:color w:val="2B2B2B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产粮(油)大县奖励资金支出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1198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重点生态功能区转移支付支出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3404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固定数额补助支出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18050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民族地区转移支付支出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4300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边境地区转移支付支出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6555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贫困地区转移支付支出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4824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 xml:space="preserve">一般公共服务共同财政事权转移支付支出  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663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 xml:space="preserve">公共安全共同财政事权转移支付支出 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1589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 xml:space="preserve">教育共同财政事权转移支付支出 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4310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 xml:space="preserve">科学技术共同财政事权转移支付支出  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25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 xml:space="preserve">文化旅游体育与传媒共同财政事权转移支付支出  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528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 xml:space="preserve">社会保障和就业共同财政事权转移支付支出 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6566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 xml:space="preserve">医疗卫生共同财政事权转移支付支出  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1614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节能环保共同财政事权转移支付支出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650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农林水共同财政事权转移支付支出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20369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 xml:space="preserve">交通运输共同财政事权转移支付支出 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2586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 xml:space="preserve">资源勘探工业信息等共同财政事权转移支付支出 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92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 xml:space="preserve">自然资源海洋气象等共同财政事权转移支付支出  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30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住房保障共同财政事权转移支付支出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813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 xml:space="preserve">灾害防治及应急管理共同财政事权转移支付支出  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 xml:space="preserve">其他共同财政事权转移支付支出 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66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其他一般性转移支付支出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5774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240" w:firstLineChars="100"/>
              <w:rPr>
                <w:rFonts w:ascii="仿宋_GB2312" w:eastAsia="仿宋_GB2312"/>
                <w:color w:val="2B2B2B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专项转移支付支出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21397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 w:cs="宋体"/>
                <w:color w:val="2B2B2B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政府性基金转移支付</w:t>
            </w: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eastAsia="zh-CN"/>
              </w:rPr>
              <w:t>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929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9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 w:cs="宋体"/>
                <w:color w:val="2B2B2B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</w:rPr>
              <w:t>国有资本经营预算转移支付</w:t>
            </w: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eastAsia="zh-CN"/>
              </w:rPr>
              <w:t>支出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480" w:firstLineChars="200"/>
              <w:jc w:val="right"/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B2B2B"/>
                <w:sz w:val="24"/>
                <w:szCs w:val="24"/>
                <w:lang w:val="en-US" w:eastAsia="zh-CN"/>
              </w:rPr>
              <w:t>4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2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480"/>
    <w:rsid w:val="00066248"/>
    <w:rsid w:val="000D7E9C"/>
    <w:rsid w:val="002F0DC3"/>
    <w:rsid w:val="00464321"/>
    <w:rsid w:val="0054547B"/>
    <w:rsid w:val="005C4A77"/>
    <w:rsid w:val="00AA2763"/>
    <w:rsid w:val="00B93E22"/>
    <w:rsid w:val="00BD4455"/>
    <w:rsid w:val="00C2752B"/>
    <w:rsid w:val="00C66C7A"/>
    <w:rsid w:val="00DB664E"/>
    <w:rsid w:val="00DD0736"/>
    <w:rsid w:val="00F34480"/>
    <w:rsid w:val="00F719ED"/>
    <w:rsid w:val="014B02B4"/>
    <w:rsid w:val="01540BCC"/>
    <w:rsid w:val="0174542F"/>
    <w:rsid w:val="01D32168"/>
    <w:rsid w:val="028445EA"/>
    <w:rsid w:val="02B81925"/>
    <w:rsid w:val="02D40F7B"/>
    <w:rsid w:val="02F06038"/>
    <w:rsid w:val="037B1F03"/>
    <w:rsid w:val="03D80762"/>
    <w:rsid w:val="03DD153B"/>
    <w:rsid w:val="04555792"/>
    <w:rsid w:val="045D636C"/>
    <w:rsid w:val="04830F82"/>
    <w:rsid w:val="04BE29AE"/>
    <w:rsid w:val="05E07119"/>
    <w:rsid w:val="0642731D"/>
    <w:rsid w:val="069432B3"/>
    <w:rsid w:val="08D154CA"/>
    <w:rsid w:val="093A7385"/>
    <w:rsid w:val="09D0175B"/>
    <w:rsid w:val="0ABF4177"/>
    <w:rsid w:val="0AD260F8"/>
    <w:rsid w:val="0AE32AE5"/>
    <w:rsid w:val="0C3E16E8"/>
    <w:rsid w:val="0CD812AD"/>
    <w:rsid w:val="0D0B14E8"/>
    <w:rsid w:val="0D3514A1"/>
    <w:rsid w:val="0D761DDE"/>
    <w:rsid w:val="0D804650"/>
    <w:rsid w:val="0DE42601"/>
    <w:rsid w:val="0DFC56F0"/>
    <w:rsid w:val="0E244AE6"/>
    <w:rsid w:val="0FA367F7"/>
    <w:rsid w:val="106A505A"/>
    <w:rsid w:val="10C043F3"/>
    <w:rsid w:val="110D16BF"/>
    <w:rsid w:val="11AB4F1F"/>
    <w:rsid w:val="126F1FC2"/>
    <w:rsid w:val="148A238F"/>
    <w:rsid w:val="14F62B09"/>
    <w:rsid w:val="15BE69A2"/>
    <w:rsid w:val="16614035"/>
    <w:rsid w:val="166B6927"/>
    <w:rsid w:val="16C51137"/>
    <w:rsid w:val="16DC7ADD"/>
    <w:rsid w:val="16F05628"/>
    <w:rsid w:val="170A044A"/>
    <w:rsid w:val="17393C1C"/>
    <w:rsid w:val="17AC37D0"/>
    <w:rsid w:val="185D5A35"/>
    <w:rsid w:val="18D84279"/>
    <w:rsid w:val="19055EE0"/>
    <w:rsid w:val="19B11914"/>
    <w:rsid w:val="1AB80229"/>
    <w:rsid w:val="1AD00474"/>
    <w:rsid w:val="1B147B03"/>
    <w:rsid w:val="1B1B19C3"/>
    <w:rsid w:val="1B2D219F"/>
    <w:rsid w:val="1C981E14"/>
    <w:rsid w:val="1CA53583"/>
    <w:rsid w:val="1CF87117"/>
    <w:rsid w:val="1D68384E"/>
    <w:rsid w:val="1D8C3D0A"/>
    <w:rsid w:val="1E4568DE"/>
    <w:rsid w:val="1F447B69"/>
    <w:rsid w:val="1F642C58"/>
    <w:rsid w:val="20075720"/>
    <w:rsid w:val="20CF1208"/>
    <w:rsid w:val="20D370CE"/>
    <w:rsid w:val="20F33680"/>
    <w:rsid w:val="212070DE"/>
    <w:rsid w:val="2139027F"/>
    <w:rsid w:val="215132CE"/>
    <w:rsid w:val="21C25E68"/>
    <w:rsid w:val="224424CA"/>
    <w:rsid w:val="22AC09F1"/>
    <w:rsid w:val="22BD1EC9"/>
    <w:rsid w:val="22C72C18"/>
    <w:rsid w:val="23041B24"/>
    <w:rsid w:val="231813C1"/>
    <w:rsid w:val="23492864"/>
    <w:rsid w:val="24A77F7D"/>
    <w:rsid w:val="24E52871"/>
    <w:rsid w:val="24E763D0"/>
    <w:rsid w:val="25507F25"/>
    <w:rsid w:val="25710011"/>
    <w:rsid w:val="25F11C32"/>
    <w:rsid w:val="26057169"/>
    <w:rsid w:val="26282A7B"/>
    <w:rsid w:val="27042830"/>
    <w:rsid w:val="272B2A57"/>
    <w:rsid w:val="27D94902"/>
    <w:rsid w:val="28475304"/>
    <w:rsid w:val="28657CD4"/>
    <w:rsid w:val="29101C02"/>
    <w:rsid w:val="29382272"/>
    <w:rsid w:val="29AC2211"/>
    <w:rsid w:val="29E02598"/>
    <w:rsid w:val="2B50415F"/>
    <w:rsid w:val="2B6B4F5F"/>
    <w:rsid w:val="2C6C656D"/>
    <w:rsid w:val="2CC22472"/>
    <w:rsid w:val="2E066F84"/>
    <w:rsid w:val="2E501BA7"/>
    <w:rsid w:val="2E6F24BA"/>
    <w:rsid w:val="2EA106BE"/>
    <w:rsid w:val="2ED23822"/>
    <w:rsid w:val="2EEE3811"/>
    <w:rsid w:val="2FA0194A"/>
    <w:rsid w:val="30152274"/>
    <w:rsid w:val="305F3011"/>
    <w:rsid w:val="311430E6"/>
    <w:rsid w:val="31456953"/>
    <w:rsid w:val="31BC4DE2"/>
    <w:rsid w:val="31D20A78"/>
    <w:rsid w:val="3480531B"/>
    <w:rsid w:val="348550FE"/>
    <w:rsid w:val="34CF459C"/>
    <w:rsid w:val="35267698"/>
    <w:rsid w:val="35CD2C45"/>
    <w:rsid w:val="363F1E59"/>
    <w:rsid w:val="36C10EA4"/>
    <w:rsid w:val="36CD39DF"/>
    <w:rsid w:val="376E270D"/>
    <w:rsid w:val="37760C70"/>
    <w:rsid w:val="38056A7C"/>
    <w:rsid w:val="383227B3"/>
    <w:rsid w:val="38AD6B1F"/>
    <w:rsid w:val="3A557771"/>
    <w:rsid w:val="3A9F3BE2"/>
    <w:rsid w:val="3AA9424E"/>
    <w:rsid w:val="3B051C04"/>
    <w:rsid w:val="3B6B2FED"/>
    <w:rsid w:val="3BF43192"/>
    <w:rsid w:val="3C2E415F"/>
    <w:rsid w:val="3C5F5829"/>
    <w:rsid w:val="3C7005F6"/>
    <w:rsid w:val="3C931652"/>
    <w:rsid w:val="3CC871D9"/>
    <w:rsid w:val="3D120567"/>
    <w:rsid w:val="3D576222"/>
    <w:rsid w:val="3D6471F0"/>
    <w:rsid w:val="3DE40F6C"/>
    <w:rsid w:val="3E1734D1"/>
    <w:rsid w:val="3E3B5481"/>
    <w:rsid w:val="3E480612"/>
    <w:rsid w:val="3E797EA5"/>
    <w:rsid w:val="3EB7092F"/>
    <w:rsid w:val="3EBD4567"/>
    <w:rsid w:val="3F3C10B9"/>
    <w:rsid w:val="3F671833"/>
    <w:rsid w:val="41833F41"/>
    <w:rsid w:val="41C44884"/>
    <w:rsid w:val="41F82A1C"/>
    <w:rsid w:val="429A2F09"/>
    <w:rsid w:val="42B02521"/>
    <w:rsid w:val="43327E77"/>
    <w:rsid w:val="43895B3D"/>
    <w:rsid w:val="438D6774"/>
    <w:rsid w:val="442F09BC"/>
    <w:rsid w:val="44E94A4D"/>
    <w:rsid w:val="45524D3C"/>
    <w:rsid w:val="4593134D"/>
    <w:rsid w:val="46165B5B"/>
    <w:rsid w:val="46F87674"/>
    <w:rsid w:val="47005CBA"/>
    <w:rsid w:val="47C67EEE"/>
    <w:rsid w:val="48042D83"/>
    <w:rsid w:val="48C75639"/>
    <w:rsid w:val="49043172"/>
    <w:rsid w:val="49F04F2E"/>
    <w:rsid w:val="4A12321B"/>
    <w:rsid w:val="4BF06DCC"/>
    <w:rsid w:val="4C355A3C"/>
    <w:rsid w:val="4C3A218A"/>
    <w:rsid w:val="4D470A4E"/>
    <w:rsid w:val="4D6B4651"/>
    <w:rsid w:val="4D7D434F"/>
    <w:rsid w:val="4EDD5D36"/>
    <w:rsid w:val="50437DFB"/>
    <w:rsid w:val="50E36AD4"/>
    <w:rsid w:val="51511EB6"/>
    <w:rsid w:val="524D3833"/>
    <w:rsid w:val="535B264A"/>
    <w:rsid w:val="547A378B"/>
    <w:rsid w:val="54995A24"/>
    <w:rsid w:val="563711AB"/>
    <w:rsid w:val="565B3701"/>
    <w:rsid w:val="567064C6"/>
    <w:rsid w:val="568D6AC8"/>
    <w:rsid w:val="56F4609A"/>
    <w:rsid w:val="58207928"/>
    <w:rsid w:val="58A7272B"/>
    <w:rsid w:val="58A81EF3"/>
    <w:rsid w:val="58C65BCD"/>
    <w:rsid w:val="5979695C"/>
    <w:rsid w:val="59A77495"/>
    <w:rsid w:val="59AB0007"/>
    <w:rsid w:val="5B123CD0"/>
    <w:rsid w:val="5BAB6E43"/>
    <w:rsid w:val="5CC43D77"/>
    <w:rsid w:val="5D7C1BB8"/>
    <w:rsid w:val="5ECF60BF"/>
    <w:rsid w:val="5FC91D91"/>
    <w:rsid w:val="5FD86FC2"/>
    <w:rsid w:val="60007284"/>
    <w:rsid w:val="603D569C"/>
    <w:rsid w:val="60F92A8E"/>
    <w:rsid w:val="61034665"/>
    <w:rsid w:val="618E4F9F"/>
    <w:rsid w:val="62570B92"/>
    <w:rsid w:val="62F31B0C"/>
    <w:rsid w:val="63875BEA"/>
    <w:rsid w:val="63C45EF5"/>
    <w:rsid w:val="63CE3951"/>
    <w:rsid w:val="64307D3C"/>
    <w:rsid w:val="652A5FC5"/>
    <w:rsid w:val="66107F4A"/>
    <w:rsid w:val="679F63B1"/>
    <w:rsid w:val="67A32F69"/>
    <w:rsid w:val="68A45C94"/>
    <w:rsid w:val="69386D59"/>
    <w:rsid w:val="6A5B749D"/>
    <w:rsid w:val="6A666F8C"/>
    <w:rsid w:val="6A6C1059"/>
    <w:rsid w:val="6AD74B02"/>
    <w:rsid w:val="6B1B4561"/>
    <w:rsid w:val="6BA86B17"/>
    <w:rsid w:val="6BA94CE7"/>
    <w:rsid w:val="6C0F27E9"/>
    <w:rsid w:val="6C2A30BD"/>
    <w:rsid w:val="6C96158E"/>
    <w:rsid w:val="6D6B7561"/>
    <w:rsid w:val="6E283C7B"/>
    <w:rsid w:val="6EAC6694"/>
    <w:rsid w:val="6F8011DE"/>
    <w:rsid w:val="6F94019C"/>
    <w:rsid w:val="6FCB6F74"/>
    <w:rsid w:val="7000744E"/>
    <w:rsid w:val="700C7F7D"/>
    <w:rsid w:val="70104669"/>
    <w:rsid w:val="70203BF3"/>
    <w:rsid w:val="702F3348"/>
    <w:rsid w:val="70376AC7"/>
    <w:rsid w:val="706106CB"/>
    <w:rsid w:val="70785D99"/>
    <w:rsid w:val="70BB502A"/>
    <w:rsid w:val="70F467D6"/>
    <w:rsid w:val="710E5B8D"/>
    <w:rsid w:val="714A2266"/>
    <w:rsid w:val="715F5347"/>
    <w:rsid w:val="71750875"/>
    <w:rsid w:val="71800E14"/>
    <w:rsid w:val="71A85886"/>
    <w:rsid w:val="72840D8E"/>
    <w:rsid w:val="72D92FD2"/>
    <w:rsid w:val="730D4607"/>
    <w:rsid w:val="736B2747"/>
    <w:rsid w:val="73C6193D"/>
    <w:rsid w:val="7415235D"/>
    <w:rsid w:val="74B4009F"/>
    <w:rsid w:val="74D25ADA"/>
    <w:rsid w:val="751B28A7"/>
    <w:rsid w:val="753955D7"/>
    <w:rsid w:val="75765CF5"/>
    <w:rsid w:val="76154E04"/>
    <w:rsid w:val="763713BC"/>
    <w:rsid w:val="76435167"/>
    <w:rsid w:val="76446B8F"/>
    <w:rsid w:val="76D7117C"/>
    <w:rsid w:val="76E4398F"/>
    <w:rsid w:val="76FA5972"/>
    <w:rsid w:val="770407D6"/>
    <w:rsid w:val="77747657"/>
    <w:rsid w:val="78202CAB"/>
    <w:rsid w:val="78820DEB"/>
    <w:rsid w:val="789A4A24"/>
    <w:rsid w:val="78D12FE0"/>
    <w:rsid w:val="78D76760"/>
    <w:rsid w:val="78F76209"/>
    <w:rsid w:val="795217E3"/>
    <w:rsid w:val="796F085A"/>
    <w:rsid w:val="7A3311BB"/>
    <w:rsid w:val="7B026E91"/>
    <w:rsid w:val="7B987DC5"/>
    <w:rsid w:val="7B9B6B0D"/>
    <w:rsid w:val="7BC84DBB"/>
    <w:rsid w:val="7BF15D74"/>
    <w:rsid w:val="7C57128A"/>
    <w:rsid w:val="7C802BAB"/>
    <w:rsid w:val="7C8E39B2"/>
    <w:rsid w:val="7C9028E3"/>
    <w:rsid w:val="7D493FD4"/>
    <w:rsid w:val="7D52231B"/>
    <w:rsid w:val="7D97272F"/>
    <w:rsid w:val="7DD51B7B"/>
    <w:rsid w:val="7DDF09CB"/>
    <w:rsid w:val="7F3420B1"/>
    <w:rsid w:val="7F7D1455"/>
    <w:rsid w:val="7F8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388</Words>
  <Characters>2212</Characters>
  <Lines>18</Lines>
  <Paragraphs>5</Paragraphs>
  <TotalTime>13</TotalTime>
  <ScaleCrop>false</ScaleCrop>
  <LinksUpToDate>false</LinksUpToDate>
  <CharactersWithSpaces>2595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2021-09-13T02:59:00Z</dcterms:created>
  <dc:creator>Administrator</dc:creator>
  <cp:lastModifiedBy>Administrator</cp:lastModifiedBy>
  <dcterms:modified xsi:type="dcterms:W3CDTF">2023-08-23T05:24:41Z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