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（涉密）</w:t>
        <w:br/>
        <w:t>2.部门机构设置及人员构成</w:t>
        <w:br/>
        <w:t>（1）部门机构设置：</w:t>
        <w:br/>
        <w:t>（涉密）</w:t>
        <w:br/>
        <w:t>（2）人员构成：截止2021年12月31日，本部门经机构管理部门核定的编制人数19人，实有人数14人；其中：行政编制数3名，事业编制11名，其他人员数0名。年末实有在职人员14人（其中行政编制人员3人，事业编制人员11人），退休职工0人，离休人员0人。</w:t>
        <w:br/>
        <w:t>3.年度重点工作</w:t>
        <w:br/>
        <w:t>涉密（略）</w:t>
        <w:br/>
        <w:t>（二）决策过程</w:t>
        <w:br/>
        <w:t>涉密（略）</w:t>
        <w:br/>
        <w:t>（三）项目资金分配</w:t>
        <w:br/>
        <w:t>1.部门（单位）预算编制及分配依据</w:t>
        <w:br/>
        <w:t>涉密（略）</w:t>
        <w:br/>
        <w:t>2.分配结果</w:t>
        <w:br/>
        <w:t>涉密（略）</w:t>
        <w:br/>
        <w:t>3.重点支出保障率</w:t>
        <w:br/>
        <w:t>涉密（略）</w:t>
        <w:br/>
        <w:t>（四）部门单位整体支出规模</w:t>
        <w:br/>
        <w:t>1.预算执行情况</w:t>
        <w:br/>
        <w:t>（1）年初预算执行情况</w:t>
        <w:br/>
        <w:t>我单位年初预算数为242.79万元，实际预算执行数242.79万元，预算执行率为100%。</w:t>
        <w:br/>
        <w:t>（2）全年预算执行情况</w:t>
        <w:br/>
        <w:t>全年预算数为320.54万元，全年实际支出资金320.54万元，预算执行率为100%。</w:t>
        <w:br/>
        <w:t>2.预算调整情况</w:t>
        <w:br/>
        <w:t>我单位年初批复预算数242.79万元，年中调整数77.75万元，调整后全年预算数320.54万元，预算调整率32.02%。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此次我单位根据《财政支出绩效评价管理暂行办法》（财预〔2020〕10号）等一系列文件要求，评价对象为：2021年度网信办部门单位所有财政资金支出管理情况，本次部门整体支出评价主要内容为: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本单位为加强预算管理，规范财务行为，已制定《网信办单位预算绩效管理工作实施办法》，《网信办财务管理制度》等健全完整的各项管理制度，有效保障了我单位高效的履行工作职能，较好的促进事业发展。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网信办《财务管理制度》相关规定和网信办《收支业务管理》规定流程，资金支出按照我单位内控体系中设定的流程申报审批进行；项目支出属于政府采购的，按照《网信办采购与招标管理办法》组织人员制定采购计划，按照财政局采购部门批复，进行公开招标、邀请招标等方式进行；属于非政府采购的项目，按照“三重一大”制度规定，重大项目支出上党支部会议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2021年本单位基本支出全年预算总额320.54万元，其中：人员经费266.29万元，公用经费54.25万元。实际支出320.54万元，其中：人员经费266.29万元，公用经费54.25万元，基本支出预算执行率100%。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所有支出严格按照财务管理制度执行。人员工资由编办、人社局、社保局、医保局、住房公积金管理办公室及财政局等部门逐个审批、审核、申报，按月发放。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3万元，实际支出0.83万元，“三公经费”控制率为75%，其中：因公出国（境）费预算为0万元，实际支出0万元；公务接待费预算为1万元，实际支出0.25万元；公务用车购置费预算为0万元，实际支出0万元；公务用车运行维护费预算为2万元，实际支出0.58万元，公务用车运行维护费控制率71%，符合财政部门本年预算要求和相关管理制度要求。</w:t>
        <w:br/>
        <w:t>（三）专项支出管理和使用情况</w:t>
        <w:br/>
        <w:t>1.专项资金安排落实、总投入情况分析</w:t>
        <w:br/>
        <w:t>涉密（略）</w:t>
        <w:br/>
        <w:t>2.专项资金实际使用、管理情况分析</w:t>
        <w:br/>
        <w:t>涉密（略）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工委副书记任组长，副主任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涉密（略）</w:t>
        <w:br/>
        <w:t>我单位专项资金严格按照《网信办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网信办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网信办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涉密（略）</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116.41万元，比上年增加40.59万元，主要用于购置固定资产，其中：车辆1辆12.67万元，与上年相比无变化，办公设备及家具116.41万元，比上年增加40.59万元。我单位本年无资产处置情况，资产配置合理，使用规范，安全完整。</w:t>
        <w:br/>
        <w:t>2.资产管理制度建设</w:t>
        <w:br/>
        <w:t>本单位依据《行政单位国有资产管理暂行办法》制订了《木垒县网信办固定资产管理制度》。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116.41万元，其中流动资产0万元0，固定资产净值81.48万元（其中：通用设备60.17万元，占固定资产净值的73.85%；专用设备0.13万元，占固定资产净值的0.11%；其他8.85万元，占固定资产净值的7.6%）。</w:t>
        <w:br/>
        <w:t>本年度流动资产0万元，比上年增加（减少）0万元。</w:t>
        <w:br/>
        <w:t>本年度固定资产 116.41万元，比上年增加40.59 万元，原因是：购置办公用品。</w:t>
        <w:br/>
        <w:t>实际在用固定资产 116.41万元，固定资产利用率100%。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指标1：全县网络安全宣传次数，预期指标≥4次，实际完成值4次，指标完成率是100%，达到预期目标。</w:t>
        <w:br/>
        <w:t>指标2：网评抽查次数指标，预期指标≥500份，实际完成值500份，指标完成率是100%，达到预期目标。</w:t>
        <w:br/>
        <w:t>2.产出质量</w:t>
        <w:br/>
        <w:t>指标1：属地网络空间清朗率，预期指标≥90%，实际完成值90%，指标完成率是100%，达到预期目标。</w:t>
        <w:br/>
        <w:t>指标2：属地网站及关键信息基础设施正常运行率，预期指标≥90%，实际完成值90%，指标完成率是100%，达到预期目标。</w:t>
        <w:br/>
        <w:t>指标3：网络安全政策宣传率，预期指标≥90%，实际完成值90%，指标完成率是100%，达到预期目标。</w:t>
        <w:br/>
        <w:t>3.产出进度</w:t>
        <w:br/>
        <w:t>网络和信息化体系建设及工作开展预期指标是≤1年，实际完成值是1年，指标完成率是100%，达到预期目标。</w:t>
        <w:br/>
        <w:t>4.产出成本</w:t>
        <w:br/>
        <w:t>办公经费支出预算11.4万元，实际完成值8.75万元，达到成本控制及改善目标。成本完成率76.75%。</w:t>
        <w:br/>
        <w:t>（二）效益指标完成情况分析</w:t>
        <w:br/>
        <w:t>1.经济效益分析</w:t>
        <w:br/>
        <w:t>无。</w:t>
        <w:br/>
        <w:t>2.社会效益分析</w:t>
        <w:br/>
        <w:t>保障全县网络环境安全，预期指标是有效保障，实际完成值是100%，指标完成率是100%，达到单位履职能力对社会带来的影响预期目标。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持续提高属地网络安全运行指标，预期指标是≥1年，实际完成值是1年，指标完成率是100%，达到单位履职能力对社会带来的影响预期目标，实现部门绩效长效机制建设，提高工作效率目标。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网名满意度指标，预期指标是≥90%，实际完成值是90%，指标完成率是100%，达到部门服务对象对部门履职效果的满意度。</w:t>
        <w:br/>
        <w:t>满意度指标共计2个，完成2个，达到部门服务对象对部门履职效果的满意度，服务对象满意度指标完成。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2.网络运行各项费用开支较大，（如电费、水费、暖气费等）致使经费不足：日常公用经费不足、与实际支出相差较大。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1.对相关人员加强培训，特别是针对《预算法》《行政事业单位会计制度》等学习培训，规范部门预算收支核算，切实提高部门预算收支管理水平。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