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木垒哈萨克自治县东城镇卫生院为人民身体健康提供医疗与预防保健服务，常见病多发病护理恢复期病人康复治疗与护理，预防保健，卫生技术人员培训，初级卫生保健规划实施，合作医疗组织与管理。</w:t>
        <w:br/>
        <w:t>1、宣传贯彻党和政府的各项医疗卫生方针政策，协助政府实施农村医改工作。</w:t>
        <w:br/>
        <w:t>2、提供基本医疗服务，开展农村常见病、多发病以及诊断明确的慢性非传染性疾病的诊疗、护理。</w:t>
        <w:br/>
        <w:t>3、负责对村级卫生机构和乡村医生的业务管理和技术指导。</w:t>
        <w:br/>
        <w:t>4、履行全民体检工作2021年全民健康体检人数4430，公共卫生宣传12次，发宣传资料781份，健康教育讲座12次，老年人中医药管理1004人，档案信息完善4988份，糖尿病、高血压等慢性病管理档案577人，影像播放1320多小时。截止2021年12月底，我院共登记管理65岁及以上老年1004人。高血压病人、糖尿病病人577人，精神病人管理27人，，并且全部建立纸质档案和电子档案。</w:t>
        <w:br/>
        <w:t>2.部门机构设置及人员构成</w:t>
        <w:br/>
        <w:t>（1）部门机构设置：</w:t>
        <w:br/>
        <w:t xml:space="preserve"> 木垒哈萨克自治县东城镇卫生院无下属预算单位，下设 8 个科室，分别是：公卫科、全民体检科、内科、外科、儿科、财务室、防疫科、妇幼保健室。</w:t>
        <w:br/>
        <w:t>截止2021年12月31日，本部门经机构管理部门核定的编制人数21人，实有人数26人；其中：行政编制数0名，事业编制21名，其他人员数5名。年末实有在职人员18人（其中行政编制人员0人，事业编制人员18人），退休职工8人，离休人员0人。</w:t>
        <w:br/>
        <w:t>（2）人员构成：截止2021年12月31日，本部门经机构管理部门核定的编制人数21人，实有人数26人；其中：行政编制数0名，事业编制21名，其他人员数5名。年末实有在职人员18人（其中行政编制人员0人，事业编制人员18人），退休职工8人，离休人员0人。</w:t>
        <w:br/>
        <w:t>3.年度重点工作</w:t>
        <w:br/>
        <w:t>加强远程医疗建设，重点是乡镇卫生院远程医疗系统建设，在全民体检中使用单位的远程会诊、远程影像诊断、远程心电图诊断。加强基层医疗卫生机构特色专科特别是中医药特色专科建设，结合当地疾病谱，制定好的中医诊疗方案，从建档立卡贫困人口开始，引导基层首诊、严格双向转诊，并逐步扩大到全人群，根据基层能力提升情况逐步扩大病种范围。加强基层医疗机构基础设施建设，村卫生室基础设施建设和维修。乡镇卫生院基本设备的配备及专业人士的业务培训。对辖区内的慢性病管理，特别是高血压、糖尿病住院率有下降；《国家基本公共卫生服务规范（第三版）》、基层高血压防治培训乡村两级培训率、过关率100%；与公卫经费挂钩的绩效考核覆盖所有乡镇卫生院和村卫生室。加强培训，全面推行《国家基本公共卫生服务规范）》，严格对我院及各村卫生室对基层高血压防治及糖尿病相关知识培训和考试，严格按新版服务规范开展基本公共卫生各项服务，基层公卫人员和家庭医生签约团队考核合格率到达100%。制定国家基本公共卫生服务项目宣传月活动方案，坚持政府主导，集中时间、集中力量、统一部署、全员发动，全方位、多角度宣传报导，营造良好的社会声势，不断提高项目知晓率。加强基本公共卫生服务绩效管理，制定基层机构公卫经费内部分配使用指导意见。把基本公卫工作重点放在村卫生室，推行乡村医生公卫收入绩效工分制，重点考核服务量和服务质量。落实乡村医生待遇保障。通过“乡管村用”或乡村医生由乡镇卫生院聘用等方式逐步将乡村医生队伍纳入职工养老保障范围；通过基本公卫服务计量绩效分配法落实公卫经费50%给乡村医生，通过明确家庭医生团队内部绩效分配提高乡村医生医疗收入。加强家庭医生团队建设和服务能力建设。乡镇卫生院要建好家庭医生服务团队，完善家庭医生签约服务包，同时针对慢病人群和贫困人口等重点人群推广个性化服务包。</w:t>
        <w:br/>
        <w:t>（二）决策过程</w:t>
        <w:br/>
        <w:t>本单位在基本公共卫生工作的开展均按照我上级下拨基本公共卫生服务资金管理制度、基本公共卫生服务资金文件要求，由东城镇卫生院领导组织，进行集体讨论，由局党委、院委会领导小组审议决定。根据基本公共卫生文件要求，进行政府采购等。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我院严格执行国家基本药物制度,实行药品零差率销售, 结合政风行风建设、多次组织职工学习,以全心全意为人民服务作为全院职工的行动指南，以提高服务素质为重点，引导医务人员改变用药习惯、规范用药，指导群众科学用药。</w:t>
        <w:br/>
        <w:t>我院根据县卫健委的相关要求，按照“全面覆盖、免费提供、自愿参检、城乡均等、方便群众”的基本原则，对全乡人民进行健康体检，筛查相关重大疾病，通过“早发现、早诊断、早治疗”以及“未病先防、小病先治”，切实维护群众健康利益，保障群众健康水平。</w:t>
        <w:br/>
        <w:t>我院为消除或减少影响健康的危险因素，减少疾病的发生，通过信息传播和干预，帮助居民掌握卫生保健知识，树立了健康观念。严格按照14项基本公共卫生服务规范要求，认真贯彻落实县卫健委及上级部门的各项工作。采取了发放宣传材料、开展健康宣教、设置宣传栏的各种方式，针对重点人群、重点疾病和我辖区主要卫生问题和危险因素开展健康教育和健康促进活动。加强健康教育档案管理，每次健康教育活动都有完整的健康教育活动记录。支出资金情况与绩效目标的一致，预算安排与部门整体目标一致且相符，基本支出及其他支出的预算分配合理。</w:t>
        <w:br/>
        <w:t>3.重点支出保障率</w:t>
        <w:br/>
        <w:t>重点支出保障率用以反映和考核部门（单位）对履行主要职责或完成重点任务的保障程度。</w:t>
        <w:br/>
        <w:t>我单位本年主要实施3等重点项目，履行了基本药物保障，全民健康体检,基本公共卫生，基础医疗，疫情防控等主要职责。</w:t>
        <w:br/>
        <w:t>本年度预算安排的重点项目支出78.2万元，项目总支出78.2万元，重点支出保障率为100%。</w:t>
        <w:br/>
        <w:t>（四）部门单位整体支出规模</w:t>
        <w:br/>
        <w:t>1.预算执行情况</w:t>
        <w:br/>
        <w:t>（1）年初预算执行情况</w:t>
        <w:br/>
        <w:t>我单位年初预算数为236.35万元，实际预算执行数236.35万元，预算执行率为100%。</w:t>
        <w:br/>
        <w:t>（2）全年预算执行情况</w:t>
        <w:br/>
        <w:t>全年预算数为382.59万元，全年实际支出资金382.59万元，预算执行率为100%。</w:t>
        <w:br/>
        <w:t>2.预算调整情况</w:t>
        <w:br/>
        <w:t>我单位年初批复预算数236.35万元，年中调整数146.24万元，调整后全年预算数382.59万元，预算调整率61%。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此次我单位根据《财政支出绩效评价管理暂行办法》（财预〔2020〕10号）等一系列文件要求，评价对象为：2021年度木垒县东城镇卫生院所有财政资金支出管理情况，本次部门整体支出评价主要内容为: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财政部门相关规定流程，资金支出按照我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2021年本单位基本支出全年预算总额304.38万元，其中：人员经费272.59万元，公用经费31.79万元。实际支出304.38万元，其中：人员经费272.59万元，公用经费31.79万元，基本支出预算执行率100%。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三）专项支出管理和使用情况</w:t>
        <w:br/>
        <w:t>1.专项资金安排落实、总投入情况</w:t>
        <w:br/>
        <w:t>本单位2021年初项目支出预算资金0万元，追加项目预算78.2万元，实际到位78.2万元，资金到位率100%,其中:中央转移支付项目资金76.2万元，自治区资金2万元，本级资金0万元。</w:t>
        <w:br/>
        <w:t>2.专项资金实际使用、管理情况分析</w:t>
        <w:br/>
        <w:t>2021年我单位全年实际完成了3个项目、未完成0个项目。专项资金支出共计78.2万元，占支出总额的100%，同比上年49.83万元增加28.37万元。支出上升的主要原因是疫情影响各项资金支出增加。</w:t>
        <w:br/>
        <w:t>其中：基本公共卫生项目64.71万元，实际到位64.71万元，实际执行64.71万元，执行率100%，主要用于14项公共卫生管理。</w:t>
        <w:br/>
        <w:t>基本药物制度补助资金项目13.49万元,实际到位13.49万元，实际执行13.49万元，执行率100%，主要用于卫生院及村卫生室的药物补助。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本单位建立各项管理制度，有内部财务管理制度、会计核算制度、公务接待制度、出差管理办法、公车管理、会议制度、预案销号制度、厉行节约制度等制度，相关管理制度合法、合规、完整，相关管理制度得到有效执行。项目资金全部按财政国库集中支付制度要求使用和拨付，通过财政直接支付方式拨给项目实施单位。在拨付过程中严把监督审核关，建立健全内部审批制度，财务做好项目专帐，严格实行专款专用，保证资金及时足额用到项目中。</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院长任组长，副院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3个，涉及金额共78.2万元，实际到位78.2万元，实际支出78.2万元，其中：中央专项项目2个涉及金额76.2万元，自治区专项项目1个涉及金额2万元，县、市（区）、地区本级专项项目0个涉及金额0万元，具体组织实施情况如下：</w:t>
        <w:br/>
        <w:t>昌州财社【2021】84号-关于2021年中央基本公共卫生服务补助资金预算数62.71万元，实际到位62.71万元，为中央转移支付拨款，该项目经费主要用于14项公共卫生服务；实际执行49.78万元，执行率100%，资金使用偏差原因无。</w:t>
        <w:br/>
        <w:t>昌州财社【2021】94号-关于2021年中央基本公共卫生服务补助资金预算数2万元，实际到位2万元，为中央转移支付拨款，该项目经费主要用于14项公共卫生服务；实际执行2万元，执行率100%，资金使用偏差原因无。</w:t>
        <w:br/>
        <w:t>昌州财社【2021】85号-2022年中央基本药物制度补助资金13.49万元，实际到位13.49万元，为中央转移支付拨款，该项目经费主要用于卫生院及村卫生室的药物补助。实际执行13.49万元，执行率100%.资金使用偏差原因无。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 木垒哈萨克自治县东城镇卫生院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 木垒哈萨克自治县东城镇卫生院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 木垒哈萨克自治县东城镇卫生院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基本公共卫生项目时，因采用政府采购方式进行采购，降低了项目的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昌州财社【2021】84号-关于2021年中央基本公共卫生服务补助资金项目已完成，实施进度为100%，达到预期完成质量要求；</w:t>
        <w:br/>
        <w:t>昌州财社【2021】94号-关于2021年中央基本公共卫生服务补助资金项目已完成，实施进度为100%，达到预期完成质量要求；</w:t>
        <w:br/>
        <w:t>昌州财社【2021】85号-2022年中央基本药物制度补助资金项目已完成，实施进度为100%，达到预期完成质量要求；</w:t>
        <w:br/>
        <w:t>5.项目效益性</w:t>
        <w:br/>
        <w:t>预期目标完成程度：我单位按预定目标完成了年初所设定工作1.向辖区内居民提供14项基本公共卫生服务； 2向辖区内14-64岁、65-79岁居民提供免费体检； 3、提高公共卫生服务质量和水平，推进服务均等化、普惠化、便捷化和卫生健康公共资源向基层延伸；4、积极落实应对人口老龄化政策措施，建立和完善老年健康服务体系；5、开展新生儿访视及儿童保健系统管理，进行体格检查和生长发育监测及评价，开展健康指导，所有目标已全部完成。</w:t>
        <w:br/>
        <w:t>项目实施对效益的影响：项目的实施有效降低了农牧民群众的就医成本，保障了基本公共卫生服务人口数。</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我单位2021年资产合计数为235.76万元，比上年增加</w:t>
        <w:br/>
        <w:t>74.67万元，主要原因是固定资产增加；货币资金减少，其中：货币资金39.64万元，比上年增加21.81万元；财政应返还额度0万元，比上年相比无变化；房屋910.25平方米32.67万元，比上年减少0万元与上年相比无变化；车辆1辆22.5万元，与上年相比无变化；在建工程0万元，与上年持平；办公设备及家具14.05万元，与上年相比无变化。我单位本年无资产处置情况。</w:t>
        <w:br/>
        <w:t>2.资产管理制度建设</w:t>
        <w:br/>
        <w:t xml:space="preserve"> 我单位固定资产管理人员对所管固定资产负有管理责任，任何人员未经批准，不准自行使用、移动、调换或出租、出借单位的国有资产。单位的固定资产-般不得对外出租、出借，确需出租、出借的，应由借出单位提出申请，报市民政局或财政部门审核审批。经批准可对外出租的资产应按程序进行公开招标。所有对外出租、出借的资产相关合同由单位法人代表单位签订。其他任何部门或个人都无权办理。出租、出借固定资产取得收入的，应及时，足额上缴财政。按财政部《事业单位国有资产管理暂行办法》规定办理。对长期闲置(到货三个月以上闲置不用的)、利用率低下的固定资产经核查检测后，由资产管理部门提出合理调配意见，报站领导批准实施调配使用，提高固定资产利用率。单位负责人因工作变动词离单位时， 应在上级主管部门或者财政部门的监督下，办理资产管理工作交按手续。固定资产使用人调离单位或迫休时，须交清所用的固定资产。固定资产处置是指单位对占有使用的固定资产进行产权转让或注销产权的行为。处置方式包括调剂、出售、出让、对外捐赠、报废、报损以及丢失等。这些变动的处理都必须经过批准，并办理如下手续。凡房屋、建筑物因不能使用，需拆除的，由单位组织工程技术人员进行鉴定，写出专题报告，填写固定资产报废单，报上级主管部门审核后报财政部门审批。单位内各部门闲置的固定资产可在部门之间调剂，经批准可以调剂的固定资产由调出部门填写《固定资产调拨单》一式三份。自存一份，调入部门一份，资产管理部门一份，据以调整账日。固定资产使用期满，并已失去使用效能的，由使用部门提出申请，填写《固定资产报废单》，办理报废手续。报废和报损的固定资产必须经过单位固定资产技术管理评估小组相关技术人员检测，确定无法修复或者修复费用接近新购价值的则不再修理，经单位领导批准后上报主管部门审核后报财政部门审批后才能报废。任何单位和个人都不能自行处置固定资产，违者要追究责任，并给予经济制裁。闲置、多余的固定资产，在单位内部门之间无法调配的，经批准可对外出售时，应遵循公开、公平、公正的原则拍卖。拍卖收入由单位财务部门按相关规定处理。经批准向对外出借固定资产，应取得借用单位的借据。借据统一由资产管 理部门管理，并督促借出部门按商定归还日期要求借方归还。出借固定资产，应由借方向单位缴交一定的租借押金。归还时，应对出借的资产验收检查，如发生损坏，应由借方负责赔偿损失。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2021年我单位资产总额235.76万元，其中流动资产62.75 万元，固定资产净值171.66万元（其中：土地、房屋及构筑物 25.01万元，占固定资产净值的14.57%；通用设备41.04万元，占固定资产净值的23.91%；专用设备95.55万元，占固定资产净值的55.66%；家具、用具、装具及动植物10.05万元，占固定资产净值的5.86%）。</w:t>
        <w:br/>
        <w:t>本年度流动资产62.75万元，比上年增加31.9万元，原因是：存货增加。</w:t>
        <w:br/>
        <w:t>本年度固定资产281.42万元，比上年增加72.81万元，原因是：专用设备增加。</w:t>
        <w:br/>
        <w:t>实际在用固定资产281.42万元，固定资产利用率100%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东城镇卫生院部门单位整体绩效目标共设置一级指标3个，二级指标8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家庭医生预约人数指标，预期指标≥3800人，实际完成值3800人，指标完成率是100%，达到预期目标。</w:t>
        <w:br/>
        <w:t>向辖区内居民提供基本公共卫生服务指标，预期指标≥14项，实际完成值14项，指标完成率是100%，达到预期目标。</w:t>
        <w:br/>
        <w:t>全民健康体检人数指标，预期指标≥3800人，实际完成值3800人，指标完成率是100%，达到预期目标。</w:t>
        <w:br/>
        <w:t>数量指标共计3个，完成3个，达到预期目标，数量指标完成率100%。</w:t>
        <w:br/>
        <w:t>2.产出质量</w:t>
        <w:br/>
        <w:t>乡村医生培训次数指标，预期指标是≥24次，实际完成值是24次，指标完成率是100%，达到质量提升及标准。</w:t>
        <w:br/>
        <w:t>居民健康档案规范化电子建档率指标，预期指标是≥80%，实际完成值是80%，指标完成率是100%，达到质量提升及标准。</w:t>
        <w:br/>
        <w:t>医保信息系统正常运行率指标，预期指标是=100%，实际完成值是100%，指标完成率是100%，达到质量提升及标准。</w:t>
        <w:br/>
        <w:t>质量指标共计3个，完成3个，达到质量提升及标准，质量指标完成率100%。</w:t>
        <w:br/>
        <w:t>3.产出进度</w:t>
        <w:br/>
        <w:t>公共卫生及全民体检完成时间指标，预期指标是2021年12月底，实际完成值是2021年12月底，指标完成率是100%，达到预期目标。</w:t>
        <w:br/>
        <w:t>科学医疗知识宣传及时性指标，预期指标是=100%，实际完成值是100%，指标完成率是100%，达到预期目标。</w:t>
        <w:br/>
        <w:t>时效指标共计2个，完成2个，达到(或部分达到)预期目标，产出指标完成率100%。</w:t>
        <w:br/>
        <w:t>4.产出成本</w:t>
        <w:br/>
        <w:t>基本公共卫生服务人均标准指标，预期指标是≤100元/人，实际完成值是100元/人，指标完成率是100%，达到成本控制及改善目标。</w:t>
        <w:br/>
        <w:t>成本指标共计1个，完成1个，达到成本控制及改善目标，成本指标完成率100%。</w:t>
        <w:br/>
        <w:t>（二）效益指标完成情况分析</w:t>
        <w:br/>
        <w:t>1.经济效益分析</w:t>
        <w:br/>
        <w:t>降低农牧民群众就医成本指标，预期指标是≥10%，实际完成值是10%，指标完成率是100%，达到单位履职能力对社会带来的影响预期目标。</w:t>
        <w:br/>
        <w:t>经济效益指标共计1个，完成1个，达到单位履职能力对社会带来的影响预期目标，社会效益指标完成。</w:t>
        <w:br/>
        <w:t>2.社会效益分析</w:t>
        <w:br/>
        <w:t>保障基本公共卫生服务人口数指标，预期指标是≥5000人，实际完成值是5000人，指标完成率是100%，达到单位履职能力对社会带来的影响预期目标。</w:t>
        <w:br/>
        <w:t>社会效益指标共计1个，完成1个，达到单位履职能力对社会带来的影响预期目标，社会效益指标完成。</w:t>
        <w:br/>
        <w:t>3.可持续影响分析</w:t>
        <w:br/>
        <w:t>居民健康水平逐步提高指标，预期指标是逐步提高，实际完成值是明显提升，指标完成率是100%，达到单位履职能力对社会带来的影响预期目标，实现部门绩效长效机制建设，提高工作效率目标。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就医群众满意度指标，预期指标是等于100%，实际完成值是100%，指标完成率是100%，达到部门（单位）服务对象对部门履职效果的满意度。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