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75B3F9" w14:textId="77777777" w:rsidR="00340E58" w:rsidRDefault="00340E58" w:rsidP="00340E58">
      <w:pPr>
        <w:widowControl/>
        <w:jc w:val="left"/>
        <w:rPr>
          <w:rFonts w:ascii="黑体" w:eastAsia="黑体" w:hAnsi="黑体" w:cs="宋体"/>
          <w:color w:val="333333"/>
          <w:sz w:val="32"/>
          <w:szCs w:val="32"/>
          <w:lang w:bidi="ar"/>
        </w:rPr>
      </w:pPr>
      <w:r>
        <w:rPr>
          <w:rFonts w:ascii="黑体" w:eastAsia="黑体" w:hAnsi="黑体" w:cs="宋体" w:hint="eastAsia"/>
          <w:color w:val="333333"/>
          <w:sz w:val="32"/>
          <w:szCs w:val="32"/>
          <w:lang w:bidi="ar"/>
        </w:rPr>
        <w:t>附件4：</w:t>
      </w:r>
    </w:p>
    <w:p w14:paraId="2B86372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56FE3831"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1BEA104"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393401E7"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B39C0AE"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11A18AD0" w14:textId="77777777" w:rsidR="00340E58" w:rsidRDefault="00340E58" w:rsidP="00340E58">
      <w:pPr>
        <w:spacing w:line="540" w:lineRule="exact"/>
        <w:jc w:val="center"/>
        <w:rPr>
          <w:rFonts w:ascii="方正小标宋_GBK" w:eastAsia="方正小标宋_GBK" w:hAnsi="华文中宋" w:cs="宋体"/>
          <w:b/>
          <w:kern w:val="0"/>
          <w:sz w:val="48"/>
          <w:szCs w:val="48"/>
        </w:rPr>
      </w:pPr>
    </w:p>
    <w:p w14:paraId="7D56F87E"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自治区本级部门单位整体支出绩效</w:t>
      </w:r>
    </w:p>
    <w:p w14:paraId="0C87FD0D" w14:textId="77777777" w:rsidR="00340E58" w:rsidRDefault="00340E58" w:rsidP="00340E58">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自评报告</w:t>
      </w:r>
    </w:p>
    <w:p w14:paraId="58039830" w14:textId="77777777" w:rsidR="00340E58" w:rsidRDefault="00340E58" w:rsidP="00340E58">
      <w:pPr>
        <w:spacing w:line="540" w:lineRule="exact"/>
        <w:jc w:val="center"/>
        <w:rPr>
          <w:rFonts w:ascii="华文中宋" w:eastAsia="华文中宋" w:hAnsi="华文中宋" w:cs="宋体"/>
          <w:b/>
          <w:kern w:val="0"/>
          <w:sz w:val="52"/>
          <w:szCs w:val="52"/>
        </w:rPr>
      </w:pPr>
    </w:p>
    <w:p w14:paraId="1CF259AF" w14:textId="1D2CF3A4" w:rsidR="00340E58" w:rsidRDefault="00340E58" w:rsidP="00340E58">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sidR="00584481" w:rsidRPr="00E8616A">
        <w:rPr>
          <w:rFonts w:ascii="仿宋_GB2312" w:eastAsia="仿宋_GB2312" w:hAnsi="宋体" w:hint="eastAsia"/>
          <w:b/>
          <w:sz w:val="32"/>
          <w:szCs w:val="32"/>
        </w:rPr>
        <w:t>2021</w:t>
      </w:r>
      <w:proofErr w:type="spellStart"/>
      <w:proofErr w:type="spellEnd"/>
      <w:r>
        <w:rPr>
          <w:rFonts w:eastAsia="仿宋_GB2312" w:hAnsi="宋体" w:cs="宋体" w:hint="eastAsia"/>
          <w:kern w:val="0"/>
          <w:sz w:val="36"/>
          <w:szCs w:val="36"/>
        </w:rPr>
        <w:t>年度）</w:t>
      </w:r>
    </w:p>
    <w:p w14:paraId="186745CD" w14:textId="77777777" w:rsidR="00340E58" w:rsidRDefault="00340E58" w:rsidP="00340E58">
      <w:pPr>
        <w:spacing w:line="540" w:lineRule="exact"/>
        <w:jc w:val="center"/>
        <w:rPr>
          <w:rFonts w:eastAsia="仿宋_GB2312" w:hAnsi="宋体" w:cs="宋体"/>
          <w:kern w:val="0"/>
          <w:sz w:val="30"/>
          <w:szCs w:val="30"/>
        </w:rPr>
      </w:pPr>
    </w:p>
    <w:p w14:paraId="4CED77EE" w14:textId="77777777" w:rsidR="00340E58" w:rsidRPr="00653C1A" w:rsidRDefault="00340E58" w:rsidP="00340E58">
      <w:pPr>
        <w:spacing w:line="540" w:lineRule="exact"/>
        <w:jc w:val="center"/>
        <w:rPr>
          <w:rFonts w:eastAsia="仿宋_GB2312" w:hAnsi="宋体" w:cs="宋体"/>
          <w:kern w:val="0"/>
          <w:sz w:val="30"/>
          <w:szCs w:val="30"/>
        </w:rPr>
      </w:pPr>
    </w:p>
    <w:p w14:paraId="4D1EB09D" w14:textId="77777777" w:rsidR="00340E58" w:rsidRDefault="00340E58" w:rsidP="00340E58">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14:paraId="2D6A57FE" w14:textId="77777777" w:rsidR="00340E58" w:rsidRDefault="00340E58" w:rsidP="00340E58">
      <w:pPr>
        <w:spacing w:line="540" w:lineRule="exact"/>
        <w:jc w:val="center"/>
        <w:rPr>
          <w:rFonts w:eastAsia="仿宋_GB2312" w:hAnsi="宋体" w:cs="宋体"/>
          <w:kern w:val="0"/>
          <w:sz w:val="30"/>
          <w:szCs w:val="30"/>
        </w:rPr>
      </w:pPr>
    </w:p>
    <w:p w14:paraId="63BE86C2" w14:textId="77777777" w:rsidR="00340E58" w:rsidRDefault="00340E58" w:rsidP="00340E58">
      <w:pPr>
        <w:spacing w:line="540" w:lineRule="exact"/>
        <w:jc w:val="center"/>
        <w:rPr>
          <w:rFonts w:eastAsia="仿宋_GB2312" w:hAnsi="宋体" w:cs="宋体"/>
          <w:kern w:val="0"/>
          <w:sz w:val="30"/>
          <w:szCs w:val="30"/>
        </w:rPr>
      </w:pPr>
    </w:p>
    <w:p w14:paraId="1F44B85D" w14:textId="77777777" w:rsidR="00340E58" w:rsidRDefault="00340E58" w:rsidP="00340E58">
      <w:pPr>
        <w:spacing w:line="540" w:lineRule="exact"/>
        <w:jc w:val="center"/>
        <w:rPr>
          <w:rFonts w:eastAsia="仿宋_GB2312" w:hAnsi="宋体" w:cs="宋体"/>
          <w:kern w:val="0"/>
          <w:sz w:val="30"/>
          <w:szCs w:val="30"/>
        </w:rPr>
      </w:pPr>
    </w:p>
    <w:p w14:paraId="2A61933D" w14:textId="77777777" w:rsidR="00340E58" w:rsidRDefault="00340E58" w:rsidP="00340E58">
      <w:pPr>
        <w:spacing w:line="540" w:lineRule="exact"/>
        <w:rPr>
          <w:rFonts w:eastAsia="仿宋_GB2312" w:hAnsi="宋体" w:cs="宋体"/>
          <w:kern w:val="0"/>
          <w:sz w:val="30"/>
          <w:szCs w:val="30"/>
        </w:rPr>
      </w:pPr>
    </w:p>
    <w:p w14:paraId="7C5A61A0" w14:textId="77777777" w:rsidR="00340E58" w:rsidRDefault="00340E58" w:rsidP="00340E58">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3260287E"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部门单位名称（公章）：</w:t>
      </w:r>
    </w:p>
    <w:p w14:paraId="2DFE3CDF" w14:textId="77777777" w:rsidR="00340E58" w:rsidRDefault="00340E58" w:rsidP="00340E58">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w:t>
      </w:r>
      <w:r>
        <w:rPr>
          <w:rFonts w:eastAsia="仿宋_GB2312" w:hAnsi="宋体" w:cs="宋体" w:hint="eastAsia"/>
          <w:kern w:val="0"/>
          <w:sz w:val="36"/>
          <w:szCs w:val="36"/>
        </w:rPr>
        <w:t>年</w:t>
      </w:r>
      <w:r>
        <w:rPr>
          <w:rFonts w:eastAsia="仿宋_GB2312" w:hAnsi="宋体" w:cs="宋体" w:hint="eastAsia"/>
          <w:kern w:val="0"/>
          <w:sz w:val="36"/>
          <w:szCs w:val="36"/>
        </w:rPr>
        <w:t xml:space="preserve">     </w:t>
      </w:r>
      <w:r>
        <w:rPr>
          <w:rFonts w:eastAsia="仿宋_GB2312" w:hAnsi="宋体" w:cs="宋体" w:hint="eastAsia"/>
          <w:kern w:val="0"/>
          <w:sz w:val="36"/>
          <w:szCs w:val="36"/>
        </w:rPr>
        <w:t>月</w:t>
      </w:r>
      <w:r>
        <w:rPr>
          <w:rFonts w:eastAsia="仿宋_GB2312" w:hAnsi="宋体" w:cs="宋体" w:hint="eastAsia"/>
          <w:kern w:val="0"/>
          <w:sz w:val="36"/>
          <w:szCs w:val="36"/>
        </w:rPr>
        <w:t xml:space="preserve">     </w:t>
      </w:r>
      <w:r>
        <w:rPr>
          <w:rFonts w:eastAsia="仿宋_GB2312" w:hAnsi="宋体" w:cs="宋体" w:hint="eastAsia"/>
          <w:kern w:val="0"/>
          <w:sz w:val="36"/>
          <w:szCs w:val="36"/>
        </w:rPr>
        <w:t>日</w:t>
      </w:r>
    </w:p>
    <w:p w14:paraId="0D71FB5A" w14:textId="4CFF04A3" w:rsidR="00340E58" w:rsidRDefault="00340E58" w:rsidP="00340E58">
      <w:pPr>
        <w:spacing w:line="700" w:lineRule="exact"/>
        <w:jc w:val="left"/>
        <w:rPr>
          <w:rFonts w:eastAsia="仿宋_GB2312" w:hAnsi="宋体" w:cs="宋体"/>
          <w:kern w:val="0"/>
          <w:sz w:val="36"/>
          <w:szCs w:val="36"/>
        </w:rPr>
      </w:pPr>
    </w:p>
    <w:p w14:paraId="6E61B129" w14:textId="34D66AD4" w:rsidR="001C7F2C" w:rsidRDefault="001C7F2C" w:rsidP="00340E58">
      <w:pPr>
        <w:spacing w:line="700" w:lineRule="exact"/>
        <w:jc w:val="left"/>
        <w:rPr>
          <w:rFonts w:eastAsia="仿宋_GB2312" w:hAnsi="宋体" w:cs="宋体"/>
          <w:kern w:val="0"/>
          <w:sz w:val="36"/>
          <w:szCs w:val="36"/>
        </w:rPr>
      </w:pPr>
    </w:p>
    <w:p w14:paraId="20CD2773" w14:textId="77777777" w:rsidR="001C7F2C" w:rsidRDefault="001C7F2C" w:rsidP="00340E58">
      <w:pPr>
        <w:spacing w:line="700" w:lineRule="exact"/>
        <w:jc w:val="left"/>
        <w:rPr>
          <w:rFonts w:eastAsia="仿宋_GB2312" w:hAnsi="宋体" w:cs="宋体"/>
          <w:kern w:val="0"/>
          <w:sz w:val="36"/>
          <w:szCs w:val="36"/>
        </w:rPr>
      </w:pPr>
    </w:p>
    <w:p w14:paraId="68C451FB" w14:textId="03C88F19"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基本概况</w:t>
      </w:r>
    </w:p>
    <w:p w14:paraId="40265AFE" w14:textId="0AADA328" w:rsidR="00E8616A" w:rsidRPr="007E47F4" w:rsidRDefault="00E8616A" w:rsidP="007E47F4">
      <w:pPr>
        <w:spacing w:line="600" w:lineRule="exact"/>
        <w:ind w:left="648" w:firstLineChars="200" w:firstLine="643"/>
        <w:jc w:val="left"/>
        <w:rPr>
          <w:rFonts w:ascii="仿宋_GB2312" w:eastAsia="仿宋_GB2312" w:hAnsi="宋体" w:hint="eastAsia"/>
          <w:b/>
          <w:sz w:val="32"/>
          <w:szCs w:val="32"/>
        </w:rPr>
      </w:pPr>
      <w:r w:rsidRPr="00E8616A">
        <w:rPr>
          <w:rFonts w:ascii="仿宋_GB2312" w:eastAsia="仿宋_GB2312" w:hAnsi="宋体" w:hint="eastAsia"/>
          <w:b/>
          <w:sz w:val="32"/>
          <w:szCs w:val="32"/>
        </w:rPr>
        <w:t>（一）单位基本情况</w:t>
        <w:br/>
        <w:t>1.部门主要职能</w:t>
        <w:br/>
        <w:t>木垒哈萨克自治县环境保护局是正科级行政单位，受县政府委托对经济和技术政策、发展规划以及经济开发计划进行环境影响评价，组织审查开发建设规划环境影响评价，组织和监督建设项目环境影响评价制度和“环保治理设施与主体工程同时设计、同时施工、同时投产使用”的“三同时”制度的实施，按照规定审批建设项目环境影响评价文件。</w:t>
        <w:br/>
        <w:t>2.部门机构设置及人员构成</w:t>
        <w:br/>
        <w:t>（1）部门机构设置：</w:t>
        <w:br/>
        <w:t>昌吉州生态环境保护局木垒县分局无下属预算单位，下设4个科室，分别是：办公室、环境监测站、生态污控环评科、环境监察大队。</w:t>
        <w:br/>
        <w:t>（2）人员构成：截止2022年12月31日，本部门经机构管理部门核定的编制人数18人，实有人数18人；其中：行政编制数12名，事业编制6名，其他人员数0名。年末实有在职人员18人（其中行政编制人员12人，事业编制人员6人），退休职工5人，离休人员0人。</w:t>
        <w:br/>
        <w:t>3.年度重点工作</w:t>
        <w:br/>
        <w:t>2021年我单位组织开展年初工作任务安排，主要以环委会办公室为核心，积极协调各部门做好污染防治工作。一是全面完成了中央环保督察反馈意见12项整改任务；二是开展大气污染防治工作，完成8家砖厂脱硫设施安装，实施电采暖面积8.13万平方米，抽检14家煤炭销售和使用单位煤质，开展建筑工地文明施工活动，农药、化肥实现零增长，回收废旧地膜面积10.2万亩，对2家机动车尾气检验检测公司日常监察，开展人工影响天气作业14次，绿化裸露土地28公顷；三是开展水污染防治工作，木垒河、三眼泉饮用水水源地水质均达到国家二类标准，委托第三方对4个“千吨万人”饮用水水源地进行水质监测，完成2个地下水“千吨万人”饮用水水源地问题整治，县城污水处理厂达标排放；四是土壤污染防治工作，新建垃圾填埋场完成自行监测，3家涉镉重金属企业按季完成动态管理工作，完成危险废物规范化考核，完成2021年自治区重点生态功能区县域环境质量监测与考核自查；五是开展生态恢复绿化，2021年完成退化林修复、河湖公园得到治理、村庄绿化造林面积6677亩。</w:t>
        <w:br/>
        <w:t>（二）决策过程</w:t>
        <w:br/>
        <w:t>本年度我单位开展的工作、项目等事项的均由本单位按照我局按照制度要求，由局办公室组织召开党组会议，由局党委、审议决定各项工作、项目的实施，根据上级文件的要求，进行各项工作的展开及各项目的顺利实施。</w:t>
        <w:br/>
        <w:t>（三）项目资金分配</w:t>
        <w:br/>
        <w:t>1.部门（单位）预算编制及分配依据</w:t>
        <w:br/>
        <w:t>我局牢固树立勤俭节约和“优支出、保刚需、改机制、促发展、惠民生”的要求，强化主体责任意识，按照“编早、编细、编实”的要求，加强领导，精心组织，打牢基础，增进协调，依据财政局文件、依法依规及时完成本部门和单位2021年预算编制工作任务，按照综合预算原则，部门所有收入全部列入部门预算，包括财政拨款收入、上级补助收入、非税收入等。基本支出严格按编制内实有在职人数编制人员经费，特殊岗位津贴按照财政部门和人社部门文件作为预算编制依据。公用经费按照单位分类分档标准以及关于规范公务支出管理的有关文件要求，根据单位实际开支水平编制并细化预算、据实编列。严格控制一般性支出，切实降低行政成本。</w:t>
        <w:br/>
        <w:t>2.分配结果</w:t>
        <w:br/>
        <w:t>2021年本单位基本支出全年预算总额324.00万元，其中：人员经费261.23万元，公用经费62.77万元。实际支出324.00万元，其中：人员经费261.23万元，公用经费62.77万元，基本支出预算执行率100%。年初项目支出预算资金0万元，追加项目预算15.2万元，实际到位15.2万元，资金到位率100%,项目支出预算执行率100%。预算安排与部门整体目标一致且相符，基本支出及项目支出的预算分配合理。</w:t>
        <w:br/>
        <w:t>3.重点支出保障率</w:t>
        <w:br/>
        <w:t>我单位本年主要实施访惠聚重点项目，履行了访惠聚工作队的正常运转等主要职责。</w:t>
        <w:br/>
        <w:t>本年度预算安排的重点项目支出15.2万元，项目总支出15.2万元，重点支出保障率为100%。</w:t>
        <w:br/>
        <w:t>（四）部门单位整体支出规模</w:t>
        <w:br/>
        <w:t>1.预算执行情况</w:t>
        <w:br/>
        <w:t>（1）年初预算执行情况</w:t>
        <w:br/>
        <w:t>我单位年初预算数为232.32万元，实际预算执行数329.88万元，预算执行率为100%。</w:t>
        <w:br/>
        <w:t>（2）全年预算执行情况</w:t>
        <w:br/>
        <w:t>全年预算数为329.88万元，全年实际支出资金329.88万元，预算执行率为100%。</w:t>
        <w:br/>
        <w:t>2.预算调整情况</w:t>
        <w:br/>
        <w:t>我单位年初批复预算数232.32万元，年中调整数97.56万元，调整后全年预算数329.88万元，预算调整率41.99%。</w:t>
        <w:br/>
        <w:t>3.政府采购执行情况 </w:t>
        <w:br/>
        <w:t>我单位年初政府采购预算数为0万元，实际用于政府采购金额为9.32万元，政府采购执行率为0%。我单位本年度无政府采购的预算。</w:t>
        <w:br/>
        <w:t>（五）评价使用方法和主要内容、涉及范围</w:t>
        <w:br/>
        <w:t>1.整体支出评价使用方法</w:t>
        <w:br/>
        <w:t>财政和部门评价的方法主要包括成本效益分析法、比较法、因素分析法、最低成本法、公众评判法、标杆管理法等。               本次评价主要采取比较法和公众（专家）评判法。一是比较法。对整体支出及项目支出情况及建设后的产出及效果与项目实施计划目标进行比较，分析预计目标的完成程度。二是公众（专家）评判法。通过专家评估、公众问卷及抽样调查等方式进行评判的方法。问卷调查是针对部门单位履职服务对象及项目实施受众群体等利益相关方实施的调查，并对调查结果进行统计、分析和评定。</w:t>
        <w:br/>
        <w:t>2.评价对象及主要内容</w:t>
        <w:br/>
        <w:t>此次我单位根据《财政支出绩效评价管理暂行办法》（财预〔2020〕10号）等一系列文件要求，评价对象为：2021年度昌吉州生态环境局木垒县分局部门单位所有财政资金支出管理情况，本次部门整体支出评价主要内容为:</w:t>
        <w:br/>
        <w:t>一是部门单位整体管理及使用情况，具体涉及预算管理、基本支出和专项支出的管理及使用情况；</w:t>
        <w:br/>
        <w:t>二是部门单位整体支出绩效情况，具体为：</w:t>
        <w:br/>
        <w:t>①绩效目标的设定情况。重点评价绩效目标设立的充分性、明确性、合理性以及细化程度。</w:t>
        <w:br/>
        <w:t>②资金投入和使用情况。重点评价资金分配过程、投入方式、资金到位、预算执行和结果。</w:t>
        <w:br/>
        <w:t>③为实现绩效目标制定的制度、采取的措施等。包括项目管理制度、财务管理制度、资产管理制度和绩效跟踪管理措施等。</w:t>
        <w:br/>
        <w:t>④绩效目标的实现程度和效果。绩效目标的实现程度包括产出数量、产出质量、产出时效和产出成本。效果包括经济效益、社会效益、生态效益、可持续影响以及服务对象满意度等。</w:t>
        <w:br/>
        <w:t>三是部门单位专项组织实施情况，具体涉及专项组织情况分析和相关管理情况；</w:t>
        <w:br/>
        <w:t>四是资产管理情况，具体涉及资产管理规范性和资产变动情况。</w:t>
        <w:br/>
        <w:t>3.涉及的范围</w:t>
        <w:br/>
        <w:t>本次评价范围：对本单位整体支出从年度总体绩效目标、产出指标、效益指标、满意度指标等方面进行了全方位、多角度综合评价分析。</w:t>
      </w:r>
      <w:bookmarkStart w:id="0" w:name="_Hlk43849111"/>
      <w:bookmarkEnd w:id="0"/>
    </w:p>
    <w:p w14:paraId="1FB1F5AB" w14:textId="06EB5EB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部门单位整体支出管理及使用情况</w:t>
      </w:r>
    </w:p>
    <w:p w14:paraId="0E9CCC6D" w14:textId="3BB090B7"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（一）预算管理情况</w:t>
        <w:br/>
        <w:t>1.管理制度健全性</w:t>
        <w:br/>
        <w:t>本单位为加强预算管理，规范财务行为，已制定《昌吉州生态环境保护局木垒县分局部门单位预算绩效管理工作实施办法》，《昌吉州生态环境保护局木垒县分局单位财务管理制度》等健全完整的各项管理制度，有效保障了我单位高效的履行工作职能，较好的促进事业发展。</w:t>
        <w:br/>
        <w:t>2.资金使用合规性和安全性</w:t>
        <w:br/>
        <w:t>我部门（单位）按照财政要求基本支出分月度申报资金使用计划，由财政部门按照进度每月按期拨付，人员支出按照工资计划发放工资；依照昌吉州生态环境保护局木垒县分局相关规定，资金支出按照我内控体系中设定的流程申报审批进行；项目支出属于政府采购的，按照昌吉州生态环境局木垒县分局部门（单位）《昌吉州生态环境局木垒县分局采购与招标管理办法》组织人员制定采购计划，按照财政局采购部门批复，进行公开招标、邀请招标等方式进行；属于非政府采购的项目，按照“三重一大”制度规定，重大项目支出上党组会研究决定。</w:t>
        <w:br/>
        <w:t>部门预算资金使用符合国家法规和财务管理制度；预算资金拨付有完整的审批程序和手续，符合项目预算批复或合同规定的用途；不存在截留、挤占、挪用、虚列支出等情况，确保我单位预算资金规范运行。</w:t>
        <w:br/>
        <w:t>3.预决算信息公开性</w:t>
        <w:br/>
        <w:t>按照木垒哈萨克自治县财政局预决算信息公开工作要求，我单位在木垒县政府信息网财政信息公开专栏对本单位预决算信息进行了公开。公开内容主要包括：本单位主要职能、机构及人员情况，收入、支出预算安排及决算情况，“三公经费”预算安排及决算情况，政府采购执行情况，国有资产占用情况，预算绩效管理情况等信息，主动接受社会各界监督。</w:t>
        <w:br/>
        <w:t>（二）基本支出和使用情况</w:t>
        <w:br/>
        <w:t>1.基本支出和使用情况</w:t>
        <w:br/>
        <w:t>2021年本单位基本支出全年预算总额324.00万元，其中：人员经费261.23万元，公用经费62.77万元。实际支出324.00万元，其中：人员经费261.23万元，公用经费62.77万元，基本支出预算执行率100%。</w:t>
        <w:br/>
        <w:t>基本支出主要用于单位日常工作运转开支,包括人员的工资福利支出、商品和服务支出、对个人和家庭的补助支出、对企事业单位的补贴及其他资本性支出等。人员经费的开支主要是按照人事部门工资系统核定的工资额进行发放,公用经费按照厉行节约的原则规范资金使用流程, 尤其是“三公"经费严格控制在预算指标内。接待费的报销必须附有接待公函、接待清单、接待明细及公务员卡poss机票,车辆运行开支由办公室统一安排调配使用。</w:t>
        <w:br/>
        <w:t>所有支出严格按照财务管理制度执行。人员工资由编办、人社局、社保局、医保局、住房公积金管理办公室及财政局等部门逐个审核，按月申报及发放。</w:t>
        <w:br/>
        <w:t>2.三公经费控制情况</w:t>
        <w:br/>
        <w:t>我单位坚决贯彻落实中央、自治区、自治州、木垒县厉行勤俭办公的工作要求，提倡本单位全体干部职工，勤俭节约，切实降低行政运行成本，确保每年“三公经费”只减不增。2021年“三公经费”预算为1.9万元，实际支出1.4万元，“三公经费”控制率为73.68%，其中：因公出国（境）费预算为0万元，实际支出0万元；公务接待费预算为0.5万元，实际支出0万元；公务用车购置费预算为0万元，实际支出0万元；公务用车运行维护费预算为1.4万元，实际支出1.4万元，公务用车运行维护费控制率0%，符合财政部门本年预算要求和相关管理制度要求。</w:t>
        <w:br/>
        <w:t>（三）专项支出管理和使用情况</w:t>
        <w:br/>
        <w:t>1.专项资金安排落实、总投入情况分析</w:t>
        <w:br/>
        <w:t>本单位2021年初项目支出预算资金0万元，追加项目预算15.2万元，实际到位15.2万元，资金到位率100%,其中:中央转移支付项目资金0万元，自治区资金0万元，本级资金15.2万元。</w:t>
        <w:br/>
        <w:t>2.专项资金实际使用、管理情况分析</w:t>
        <w:br/>
        <w:t>2021年我单位全年实际完成了1个项目、未完成0个项目。专项资金支出共计15.2万元，占支出总额的4.6%，同比上年44.62万元减少29.42万元。支出减少的主要原因是今年没有2020年国家重点生态功能区县与生态环境质量监测评价与考核工作经费项目、2020年解决更换区控环境空气质量自动监测站检测设备经费项目，路检路查联合执法站房经费项目。</w:t>
        <w:br/>
        <w:t>其中：访惠聚工作经费项目15.2万元，实际到位15.2万元，实际执行15.2万元，执行率100%，主要用于保障访惠聚工作队的正常运转。</w:t>
        <w:br/>
        <w:t></w:t>
        <w:br/>
        <w:t>3.专项资金管理情况</w:t>
        <w:br/>
        <w:t>为了加强资金管理，提高资金效益，本单位制定了专项资金管理制度，坚持一支笔和项目重大开支集体讨论制定，超过1万元以上的项目支出报分管领导同意后，再报分管领导例会审议通过，以会议纪要为依据方可支付。所有开支必须有详细明细，确因客观原因无明细的附说明。按月向财政上报资金使用进度情况反馈。严格按照专项经费管理办法执行，并对下拨专项经费进行跟踪督查，确保专款专用，杜绝截留、挤占、挪用、虚列支出等情况的发生。</w:t>
        <w:br/>
        <w:t>为规范专项资金使用，提高专项资金使用效益，我单位主要采取四项措施。</w:t>
        <w:br/>
        <w:t>一是制订专项资金管理制度；二是各专项资金建立了专帐；三是制订了项目实施方案；四是认真组织项目验收。切实确保专项资金都做到了专款专用。其中：</w:t>
        <w:br/>
        <w:t>（1）各项资金使用审批流程均按规定办理。涉及“三重一大”内容，严格按照规定提请局党组会审议决定，包括项目资金分配、重大项目确定、大额资金支付等。</w:t>
        <w:br/>
        <w:t>（2）建立访惠聚工作经费专项资金专帐，做到有据可依，有据可查。</w:t>
        <w:br/>
        <w:t>（3）制订了访惠聚工作经费项目实施方案，确保项目访惠聚工作经费的实施。</w:t>
        <w:br/>
        <w:t>（4）认真组织访惠聚工作经费项目验收，确保访惠聚工作经费完成。</w:t>
        <w:br/>
        <w:t>专项资金涉及政府采购项目的，按照局《昌吉州生态环境保护局木垒县分局采购与招标管理办法》（按实际资金管理办法填写）组织人员制定采购计划，按照财政局采购部门批复，进行公开招标、邀请招标等方式进行。</w:t>
        <w:br/>
        <w:t>我单位根据专项资金的使用范围和要求，合理安排资金计划，按时完成专项资金项目绩效目标及执行情况的跟踪评价，严格遵循国家法规和财务管理制度合法合规使用专项资金，保证资金拨付有完整的审批程序和手续，符合项目预算批复或合同规定的用途，不存在截留、挤占、挪用、虚列支出等情况。</w:t>
      </w:r>
    </w:p>
    <w:p w14:paraId="37DCA4AD" w14:textId="72925F4C"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部门单位专项组织实施情况</w:t>
      </w:r>
    </w:p>
    <w:p w14:paraId="745ED414" w14:textId="37185639" w:rsidR="00E8616A" w:rsidRPr="00E8616A" w:rsidRDefault="00E8616A" w:rsidP="00E8616A">
      <w:pPr>
        <w:spacing w:line="600" w:lineRule="exact"/>
        <w:ind w:firstLineChars="250" w:firstLine="80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黑体" w:eastAsia="黑体" w:hAnsi="黑体" w:cs="宋体"/>
          <w:bCs/>
          <w:color w:val="333333"/>
          <w:sz w:val="32"/>
          <w:szCs w:val="32"/>
          <w:lang w:bidi="ar"/>
        </w:rPr>
        <w:t xml:space="preserve"> </w:t>
      </w:r>
      <w:r w:rsidR="00DC7E33">
        <w:rPr>
          <w:rFonts w:ascii="黑体" w:eastAsia="黑体" w:hAnsi="黑体" w:cs="宋体"/>
          <w:bCs/>
          <w:color w:val="333333"/>
          <w:sz w:val="32"/>
          <w:szCs w:val="32"/>
          <w:lang w:bidi="ar"/>
        </w:rPr>
        <w:t xml:space="preserve"> </w:t>
      </w:r>
      <w:r>
        <w:rPr>
          <w:rFonts w:ascii="仿宋_GB2312" w:eastAsia="仿宋_GB2312" w:hAnsi="宋体" w:hint="eastAsia"/>
          <w:b/>
          <w:sz w:val="32"/>
          <w:szCs w:val="32"/>
        </w:rPr>
        <w:t>部门单位专项组织实施情况</w:t>
        <w:br/>
        <w:t>（一）专项组织情况分析</w:t>
        <w:br/>
        <w:t>我单位经梳理2021年专项资金使用情况和专项项目实施规模，根据各专项实际存档资料，就专项工作计划与部门职能和规划内容、与科室和项目之间的对应关系、重点工作安排与重点项目安排情况等，与相关科室的管理人员进行了沟通和交流，深入了解本部门涉及专项资金的使用情况和项目完成情况。</w:t>
        <w:br/>
        <w:t>根据项目实施情况，对于专项资金下达的绩效目标表的专项项目按照下达绩效目标，立足实际完成情况，开展专项项目绩效自评；对于未下达绩效目标表的项目，由我部门按照自行设定并经财政审核备案后的绩效目标表，实施专项项目绩效自评。对专项项目预算执行情况进行分析，再考察专项项目产出、项目目标的实现程度和管理有效性，从而总结项目取得的业绩和经验，发现项目存在的不足之处。</w:t>
        <w:br/>
        <w:t>1、前期准备工作</w:t>
        <w:br/>
        <w:t>本单位在项目实施和资金使用分配中，结合本地实际情况，对项目制订工作方案，明确时间节点，开展项目规划设计、部署工作，认真落实项目任务。</w:t>
        <w:br/>
        <w:t>2、组织实施过程</w:t>
        <w:br/>
        <w:t>为了管好用好各项资金，本单位成立了绩效工作领导小组，党组书记任组长，局长任副组长，领导小组下设办公室，由财务领导任办公室主任，主抓各项资金绩效工作，各业务科室负责人及业务骨干具体实施各项资金绩效工作。涉及政府采购项目的，按照《采购与招标管理办法》组织人员制定采购计划，按照财政局采购部门批复，进行公开招标、邀请招标等方式进行。各相关工作任务分解到相关责任科室、每一个责任人，从而达全员参与，任何人不能置身事外，做到“人人有事做、事事有人管”。在项目实施和管理过程中，根据职能制定工作要点和实施方案，力求项目建设科学与规范。</w:t>
        <w:br/>
        <w:t></w:t>
        <w:br/>
        <w:t>通过绩效评价，对专项项目预算执行情况进行分析，再考察专项项目产出、项目目标的实现程度和管理有效性，从而总结项目取得的业绩和经验，发现项目存在的不足之处，为项目今后更好的开展工作提供经验。</w:t>
        <w:br/>
        <w:t>（二）专项管理情况分析</w:t>
        <w:br/>
        <w:t>1.项目资金情况分析</w:t>
        <w:br/>
        <w:t>2021年我单位实施专项项目共1个，涉及金额共15.2万元，实际到位15.2万元，实际支出15.2万元，其中：中央专项项目0个涉及金额0万元，自治区专项项目0个涉及金额0万元，县、市（区）、地区本级专项项目1个涉及金额15.2万元，具体组织实施情况如下：</w:t>
        <w:br/>
        <w:t>访汇聚工作经费预算数15.2万元，实际到位15.2万元，为本级项目资金（资金来源），该项目经费主要用于保障访惠聚工作队的正常运转；实际执行15.2万元，执行率100%，资金使用偏差原因无。</w:t>
        <w:br/>
        <w:t>我单位专项资金严格按照《昌吉州生态环境保护局木垒县分局单位财务管理制度》及相关专项资金管理办法要求执行项目资金，实行专账核算、逐级审批；认真落实项目资金的使用各项管理制度，确保专款专用，及时拨付到位。建立《日常检查监督检查机制》，不定期对项目进行督导检查，对检查过程中发现的问题及时督促整改，有效杜绝了项目资金在分配使用过程中违纪现象的发生，保证了项目资金的使用安全。为了规范项目资金分配及使用严格遵守相关法律法规和业务管理规定，对项目资料及时收集整理并归档。工作中突出重点，高标准规划、精细设计。</w:t>
        <w:br/>
        <w:t>各项目资金预算编制依据充分，预算编制准确，资金不存在截留、挪用，支付审批合规、不存在用途改变、范围超支和虚列项目支出等情况。在本年度各级审计和财政监督检查中未发现资金使用合规性问题。</w:t>
        <w:br/>
        <w:t>2.项目实施情况</w:t>
        <w:br/>
        <w:t>项目组织情况：为切实加强项目建设工作的组织领导和统筹协调，确保我单位项目建设工作的有序开展和稳步推进，提升项目建设管理水平，项目前期成立项目工作领导小组，制定较健全的管理制度，包括资金管理、采购、招投标工作、竣工验收等财务管理和项目制度管控措施，健全相关制度，项目由昌吉州生态环境保护局木垒县分局单位为项目实施主体组织实施、监督和验收；经过前期的调研分析，专家论证，事前评价，确保项目技术方案科学合理可行；确保目标实现的合规性、公平性和透明性、项目预期效益的可实现性。</w:t>
        <w:br/>
        <w:t>项目管理情况：根据项目绩效相关政策要求及单位相关项目管理制度的规定，项目实施过程中严格执行相关制度，认真履行管理职能，监管到位，按程序和规定开展项目相关招投标、监督工作，力争通过招标、管理等环节，在质量有保证的前提下，节约项目资金投入，通过绩效管理全过程监控，确保项目按计划实施和正常运转，保证各项目标和指标如期完成，发挥长期效益。</w:t>
        <w:br/>
        <w:t>项目监管情况：昌吉州生态环境保护局木垒县分局单位随时对专项项目进行监督检查，监督施工进度是否按照项目计划时间如期进行，检查项目实施内容是否与项目计划内容一致，同时开展自查、随机抽查、专项检查等方式，对专项项目资金进行定期或不定期督查，确保项目资金专款专用。</w:t>
        <w:br/>
        <w:t>3.项目绩效情况</w:t>
        <w:br/>
        <w:t>成本控制情况：昌吉州生态环境保护局木垒县分局单位在其职权范围内，明确项目职责分工和成本控制要求，对各种影响成本的因素和条件采取的一系列预防和调节措施，严格按照相关的专项资金管理办法，实行多重审批控制专项经费的支出，科学地组织实施成本控制。</w:t>
        <w:br/>
        <w:t>成本节约情况：我单位根据实际情况做出项目合理预算，支出严格控制在预算范围内，严格控制成本，如在进行访惠聚工作经费项目时，本着节约成本、防止资源浪费的原则将项目成效最大化。</w:t>
        <w:br/>
        <w:t>4.项目效率性分析</w:t>
        <w:br/>
        <w:t>项目实施进度：项目实施紧扣各个环节，逐步推进，及时与职能部门跟踪项目进展，加强项目督办，充分调动职能部门的积极性，加大项目投入工作的力度，加快项目实施进度。</w:t>
        <w:br/>
        <w:t>项目完成质量：项目严格按照年度预期目标执行，项目完成质量达标。</w:t>
        <w:br/>
        <w:t>具体实施情况如下：</w:t>
        <w:br/>
        <w:t>访惠聚工作经费项目已完成，实施进度为100%，达到预期完成质量要求；</w:t>
        <w:br/>
        <w:t>5.项目效益性</w:t>
        <w:br/>
        <w:t>预期目标完成程度：已完成目标1.落实国家环境保护基本制度。负责重大环境问题的统筹协调和监督管理。承担落实自治区和自治州减排目标的责任。承担从源头上预防、控制环境污染和环境破坏的责任。负责环境污染防治的监督管理。保障各项业务工作顺利开展；目标2.完成自治区人民政府、生态环境厅、昌吉州人民政府下达的工作任务.                                                               </w:t>
        <w:br/>
        <w:t>项目实施对效益的影响：项目的实施有效提升了培训人员的爱国主义意识，持续保障了培训工作的顺利开展。</w:t>
      </w:r>
    </w:p>
    <w:p w14:paraId="12A3AD8D" w14:textId="629BB3D6"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资产管理情况</w:t>
      </w:r>
    </w:p>
    <w:p w14:paraId="0A4F0C23" w14:textId="6048A21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四、资产管理情况</w:t>
        <w:br/>
        <w:t>（一）资产管理规范性</w:t>
        <w:br/>
        <w:t>1.资产基本情况</w:t>
        <w:br/>
        <w:t>我单位2021年资产合计数为473.11万元，比上年减少43.61万元，主要原因是货币资金减少，其中：货币资金12.01万元，比上年减少17.75万元；财政应返还额度0万元，比上年相比无变化；房屋2337平方米410.20万元，比上年减少0万元；车辆3辆45.97万元，与上年相比无变化（根据单位实际情况修改）；在建工程0万元，与上年持平；办公设备及家具41.5万元，与上年相比无变化。我单位本年无资产处置情况，资产配置合理，使用规范，安全完整。</w:t>
        <w:br/>
        <w:t>2.资产管理制度建设</w:t>
        <w:br/>
        <w:t>根据相关部门和内部控制的要求我单位制定了《昌吉州生态环境局木垒县分局资产管理制度制度》，具体规定了资产的增加、减少、转让、出租等相关业务的管理要求。</w:t>
        <w:br/>
        <w:t>3.固定资产管理情况。</w:t>
        <w:br/>
        <w:t>本单位的资产管理严格按照《行政单位国有资产管理暂行办法》（财政部令第35号）《财政部关于修改〈事业单位国有资产暂行办法〉的决定》（财政部令第100号）《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</w:t>
        <w:br/>
        <w:t>4.流动资产管理情况。</w:t>
        <w:br/>
        <w:t>流动资产严格按照我单位内控体系要求进行管理，无备用金，单位货币资金管理由财务室每月与国库支付中心进行对账。</w:t>
        <w:b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</w:t>
        <w:br/>
        <w:t>（二）固定资产利用率</w:t>
        <w:br/>
        <w:t>2021年我单位资产总额473.11万元，其中流动资产14.00万元（其中其他应收款净额1.99万元），固定资产净值459.12万元（其中：土地、房屋及构筑物346.98万元，占固定资产净值的75.57%；通用设备30.98万元，占固定资产净值的6.75%；专用设备69.32 万元，占固定资产净值的15.10%；其他10.54万元，占固定资产净值的2.30%；无形资产1.30万元，占固定资产净值的0.28%。</w:t>
        <w:br/>
        <w:t>本年度流动资产14.00万元，比上年减少22.31万元，原因是： 财政代管资金未增加，花费去年剩余资金，所以流动资产减少。</w:t>
        <w:br/>
        <w:t>本年度固定资产694.14万元，比上年增加10.56万元，原因是：购买办公设备10.56万元。</w:t>
        <w:br/>
        <w:t>实际在用固定资产694.14万元，固定资产利用率100%。</w:t>
      </w:r>
    </w:p>
    <w:p w14:paraId="0B4A597E" w14:textId="3A38E9D2"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部门单位整体支出绩效情况</w:t>
      </w:r>
    </w:p>
    <w:p w14:paraId="346EF8A1" w14:textId="12FD60D8" w:rsidR="00E8616A" w:rsidRPr="00E8616A" w:rsidRDefault="00E8616A" w:rsidP="00DC7E33">
      <w:pPr>
        <w:spacing w:line="600" w:lineRule="exact"/>
        <w:ind w:firstLineChars="350" w:firstLine="1120"/>
        <w:jc w:val="left"/>
        <w:rPr>
          <w:rFonts w:ascii="仿宋_GB2312" w:eastAsia="仿宋_GB2312" w:hAnsi="宋体"/>
          <w:b/>
          <w:sz w:val="32"/>
          <w:szCs w:val="32"/>
        </w:rPr>
      </w:pPr>
      <w:r>
        <w:rPr>
          <w:rFonts w:ascii="黑体" w:eastAsia="黑体" w:hAnsi="黑体" w:cs="宋体" w:hint="eastAsia"/>
          <w:bCs/>
          <w:color w:val="333333"/>
          <w:sz w:val="32"/>
          <w:szCs w:val="32"/>
          <w:lang w:bidi="ar"/>
        </w:rPr>
        <w:t xml:space="preserve"> </w:t>
      </w:r>
      <w:r>
        <w:rPr>
          <w:rFonts w:ascii="仿宋_GB2312" w:eastAsia="仿宋_GB2312" w:hAnsi="宋体" w:hint="eastAsia"/>
          <w:b/>
          <w:sz w:val="32"/>
          <w:szCs w:val="32"/>
        </w:rPr>
        <w:t>我昌吉州生态环境保护局木垒县分局部门（单位）部门单位整体绩效目标共设置一级指标3个，二级指标8个，三级指标14个，指标完成情况如下，其中已完成三级指标14个，指标完成率为100%。我单位通过加强预算收支管理，不断建立健全内部管理制度，梳理内部管理流程，部门整体支出管理情况得到提升。根据2021年度部门整体支出状况的概述和分析，部门整体支出绩效情况如下：</w:t>
        <w:br/>
        <w:t>（一）产出指标完成情况分析</w:t>
        <w:br/>
        <w:t>1.产出数量</w:t>
        <w:br/>
        <w:t>数量指标，预期指标完成环评文件评估数量≥20个，实际完成值20个，指标完成率是100%，达到预期目标</w:t>
        <w:br/>
        <w:t>数量指标，预期指标完成排污许可文件评估数量≥10个，实际完成值10个，指标完成率是100%，达到预期目标。</w:t>
        <w:br/>
        <w:t>数量指标，预期指标企业环保督查次数≥35次，实际完成值35次，指标完成率是100%，达到预期目标。</w:t>
        <w:br/>
        <w:t>数量指标，预期指标向企业环保宣传教育次数≥5次，实际完成值5次，指标完成率是100%，达到预期目标。</w:t>
        <w:br/>
        <w:t>数量指标共计4个，完成4个，达到预期目标，数量指标完成率100%%。</w:t>
        <w:br/>
        <w:t>2.产出质量</w:t>
        <w:br/>
        <w:t>质量指标，预期指标是督查检查污染企业覆盖率=100%，实际完成值是100%，指标完成率是100%，达到质量提升及标准。</w:t>
        <w:br/>
        <w:t>质量指标，预期指标是农村环境综合整治率=100%，实际完成值是100%，指标完成率是100%，达到质量提升及标准。</w:t>
        <w:br/>
        <w:t>质量指标共计2个，完成2个，达到(或部分达到)质量提升及标准，质量指标完成率100%。</w:t>
        <w:br/>
        <w:t>3.产出进度</w:t>
        <w:br/>
        <w:t>时效指标，预期指标是环境污染事件投诉处理时限≤30天，实际完成值是30天，指标完成率是100%，达到预期目标。</w:t>
        <w:br/>
        <w:t>时效指标，预期指标是环境监管及时率=100%，实际完成值是100%，指标完成率是100%，达到预期目标。</w:t>
        <w:br/>
        <w:t>时效指标共计2个，完成2个，达到预期目标，产出指标完成率100%。</w:t>
        <w:br/>
        <w:t>4.产出成本</w:t>
        <w:br/>
        <w:t>成本指标，预期指标是环境普法宣传成本≤1万元/年，实际完成值是1万元，指标完成率是100%，达到成本控制及改善目标。</w:t>
        <w:br/>
        <w:t>成本指标共计1个，完成1个，达到成本控制及改善目标，成本指标完成率100%。</w:t>
        <w:br/>
        <w:t>（二）效益指标完成情况分析</w:t>
        <w:br/>
        <w:t>1.社会效益分析</w:t>
        <w:br/>
        <w:t>社会效益指标，预期指标是及时处置突发环境事件，维护人民群众生命财产安全，实际完成值是效果显著，指标完成率是100%，达到单位履职能力对社会带来的影响预期目标。</w:t>
        <w:br/>
        <w:t>社会效益指标，预期指标是推动环境督察问题整改，打赢污染防治攻坚战，改善环境质量，实际完成值是效果显著，指标完成率是100%，达到单位履职能力对社会带来的影响预期目标。</w:t>
        <w:br/>
        <w:t>社会效益指标共计2个，完成2个，达到单位履职能力对社会带来的影响预期目标，社会效益指标完成。</w:t>
        <w:br/>
        <w:t>2.生态效益分析</w:t>
        <w:br/>
        <w:t>生态效益指标，预期指标是环境约束指标达标率=100%，实际完成值是100%，指标完成率是100%，达到单位履职能力对社会带来的影响预期目标。</w:t>
        <w:br/>
        <w:t>生态效益指标共计1个，完成1个，达到单位履职能力对社会带来的影响预期目标，社会效益指标完成。</w:t>
        <w:br/>
        <w:t>3.可持续影响分析</w:t>
        <w:br/>
        <w:t>可持续影响指标，预期指标是持续改善生态环境，降低环境污染发生概率，实际完成值是长期，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公众对生态环境局满意度指标，预期指标是大于等于95%，实际完成值是95%，指标完成率是100%，达到部门（单位）服务对象对部门履职效果的满意度。</w:t>
        <w:br/>
        <w:t>满意度指标共计1个，完成1个，达到部门（单位）服务对象对部门履职效果的满意度，服务对象满意度指标完成。</w:t>
        <w:br/>
        <w:t>2.生态效益分析</w:t>
        <w:br/>
        <w:t>生态效益指标，预期指标是环境约束指标达标率=100%，实际完成值是100%，指标完成率是100%，达到单位履职能力对社会带来的影响预期目标。</w:t>
        <w:br/>
        <w:t>生态效益指标共计1个，完成1个，达到单位履职能力对社会带来的影响预期目标，社会效益指标完成。</w:t>
        <w:br/>
        <w:t>3.可持续影响分析</w:t>
        <w:br/>
        <w:t>可持续影响指标，预期指标是持续改善生态环境，降低环境污染发生概率，实际完成值是长期，指标完成率是100%，达到单位履职能力对社会带来的影响预期目标，实现部门绩效长效机制建设，提高工作效率目标。</w:t>
        <w:br/>
        <w:t>可持续影响指标共计1个，完成1个，达到预期目标，可持续影响指标完成。</w:t>
        <w:br/>
        <w:t>（三）满意度指标完成情况分析</w:t>
        <w:br/>
        <w:t>我单位按计划完成部门整体全年工作目标，通过开展满意度调查抽样问卷统计满意度指标完成情况，具体如下：</w:t>
        <w:br/>
        <w:t>公众对生态环境局满意度指标，预期指标是大于等于95%，实际完成值是95%，指标完成率是100%，达到部门（单位）服务对象对部门履职效果的满意度。</w:t>
        <w:br/>
        <w:t>满意度指标共计1个，完成1个，达到部门（单位）服务对象对部门履职效果的满意度，服务对象满意度指标完成。</w:t>
      </w:r>
    </w:p>
    <w:p w14:paraId="4D3E30DF" w14:textId="1C072494"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存在的主要问题</w:t>
      </w:r>
    </w:p>
    <w:p w14:paraId="5912FC22" w14:textId="46E8FFED"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1、预算编制工作有待细化。预算编制不够明确和细化，预算编制的合理性需要提高，预算执行力度还要进一步加强。</w:t>
        <w:br/>
        <w:t>2、因单位编制少于实有人数导致经费不足：绩效工资和日常公用经费不足、与实际支出相差较大。</w:t>
        <w:br/>
        <w:t>3、公用经费控制有一定难度，基本为刚性支出。</w:t>
      </w:r>
    </w:p>
    <w:p w14:paraId="65E5B227" w14:textId="14D4F6D7" w:rsidR="00340E58"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改进措施和建议</w:t>
      </w:r>
    </w:p>
    <w:p w14:paraId="490E58CB" w14:textId="1CE8FBAC" w:rsidR="00E8616A" w:rsidRPr="00E8616A" w:rsidRDefault="00E8616A" w:rsidP="00DC7E33">
      <w:pPr>
        <w:spacing w:line="600" w:lineRule="exact"/>
        <w:ind w:left="648" w:firstLineChars="200" w:firstLine="643"/>
        <w:jc w:val="left"/>
        <w:rPr>
          <w:rFonts w:ascii="仿宋_GB2312" w:eastAsia="仿宋_GB2312" w:hAnsi="宋体"/>
          <w:b/>
          <w:sz w:val="32"/>
          <w:szCs w:val="32"/>
        </w:rPr>
      </w:pPr>
      <w:r w:rsidRPr="00E8616A">
        <w:rPr>
          <w:rFonts w:ascii="仿宋_GB2312" w:eastAsia="仿宋_GB2312" w:hAnsi="宋体" w:hint="eastAsia"/>
          <w:b/>
          <w:sz w:val="32"/>
          <w:szCs w:val="32"/>
        </w:rPr>
        <w:t>（一）改进措施</w:t>
        <w:br/>
        <w:t>1、细化预算编制工作，认真做好预算的编制。进一步加强单位内部机构各股室的预算管理意识，严格按照预算编制的相关制度和要求进行预算编制；全面编制预算项目，优先保障固定性的、相对刚性的费用支出项目，尽量压缩变动性的、有控制空间的费用项目，进一步提高预算编制的科学性、严谨性和可控性。加强内部预算编制的审核和预算控制指标的下达。</w:t>
        <w:br/>
        <w:t>2、加强财务管理，严格财务审核。加强单位财务管理，健全单位财务管理制度体系，规范单位财务行为。在费用报账支付时，按照预算规定的费用项目和用途进行资金使用审核、列报支付、财务核算，杜绝超支现象的发生。   </w:t>
        <w:br/>
        <w:t>3、完善资产管理，抓好“三公”经费控制。严格编制政府采购年初预算和计划，规范各类资产的购置审批制度、资产出租出借和收入管理制度、资产采购制度、使用管理制度、资产处置和报废审批制度、资产管理岗位职责制度等，加强单位内部的资产管理工作。严格控制“三公”经费的规模和比例，把关“三公”经费支出的审核、审批，杜绝挪用和挤占其他预算资金行为；进一步细化“三公”经费的管理，合理压缩“三公”经费支出。</w:t>
        <w:br/>
        <w:t>（二）建议</w:t>
        <w:br/>
        <w:t>对相关人员加强培训，特别是针对《预算法》《行政事业单位会计制度》等学习培训，规范部门预算收支核算，切实提高部门预算收支管理水平。</w:t>
      </w:r>
    </w:p>
    <w:p w14:paraId="37F06586" w14:textId="77777777" w:rsidR="00340E58" w:rsidRPr="00950CC4" w:rsidRDefault="00340E58" w:rsidP="00340E58">
      <w:pPr>
        <w:numPr>
          <w:ilvl w:val="0"/>
          <w:numId w:val="1"/>
        </w:numPr>
        <w:snapToGrid w:val="0"/>
        <w:spacing w:line="540" w:lineRule="exact"/>
        <w:rPr>
          <w:rFonts w:ascii="黑体" w:eastAsia="黑体" w:hAnsi="黑体" w:cs="宋体"/>
          <w:bCs/>
          <w:color w:val="333333"/>
          <w:sz w:val="32"/>
          <w:szCs w:val="32"/>
          <w:lang w:bidi="ar"/>
        </w:rPr>
      </w:pPr>
      <w:r w:rsidRPr="00950CC4">
        <w:rPr>
          <w:rFonts w:ascii="黑体" w:eastAsia="黑体" w:hAnsi="黑体" w:cs="宋体" w:hint="eastAsia"/>
          <w:bCs/>
          <w:color w:val="333333"/>
          <w:sz w:val="32"/>
          <w:szCs w:val="32"/>
          <w:lang w:bidi="ar"/>
        </w:rPr>
        <w:t>附表：《部门整体支出绩效目标自评表》</w:t>
      </w:r>
    </w:p>
    <w:p w14:paraId="550E9160" w14:textId="77777777" w:rsidR="008F0DCE" w:rsidRPr="00340E58" w:rsidRDefault="008F0DCE"/>
    <w:sectPr w:rsidR="008F0DCE" w:rsidRPr="00340E5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EF9EDE2" w14:textId="77777777" w:rsidR="003E45AA" w:rsidRDefault="003E45AA" w:rsidP="00340E58">
      <w:r>
        <w:separator/>
      </w:r>
    </w:p>
  </w:endnote>
  <w:endnote w:type="continuationSeparator" w:id="0">
    <w:p w14:paraId="7EB096F5" w14:textId="77777777" w:rsidR="003E45AA" w:rsidRDefault="003E45AA" w:rsidP="00340E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21BEFC" w14:textId="77777777" w:rsidR="003E45AA" w:rsidRDefault="003E45AA" w:rsidP="00340E58">
      <w:r>
        <w:separator/>
      </w:r>
    </w:p>
  </w:footnote>
  <w:footnote w:type="continuationSeparator" w:id="0">
    <w:p w14:paraId="14F82E79" w14:textId="77777777" w:rsidR="003E45AA" w:rsidRDefault="003E45AA" w:rsidP="00340E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E59150"/>
  <w15:chartTrackingRefBased/>
  <w15:docId w15:val="{AB403C91-96A9-4489-9DBC-85D953C40E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E5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40E5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40E58"/>
    <w:rPr>
      <w:sz w:val="18"/>
      <w:szCs w:val="18"/>
    </w:rPr>
  </w:style>
  <w:style w:type="paragraph" w:styleId="a5">
    <w:name w:val="footer"/>
    <w:basedOn w:val="a"/>
    <w:link w:val="a6"/>
    <w:uiPriority w:val="99"/>
    <w:unhideWhenUsed/>
    <w:rsid w:val="00340E58"/>
    <w:pPr>
      <w:tabs>
        <w:tab w:val="center" w:pos="4153"/>
        <w:tab w:val="right" w:pos="8306"/>
      </w:tabs>
      <w:snapToGrid w:val="0"/>
      <w:jc w:val="left"/>
    </w:pPr>
    <w:rPr>
      <w:sz w:val="18"/>
      <w:szCs w:val="18"/>
    </w:rPr>
  </w:style>
  <w:style w:type="character" w:customStyle="1" w:styleId="a6">
    <w:name w:val="页脚 字符"/>
    <w:basedOn w:val="a0"/>
    <w:link w:val="a5"/>
    <w:uiPriority w:val="99"/>
    <w:rsid w:val="00340E58"/>
    <w:rPr>
      <w:sz w:val="18"/>
      <w:szCs w:val="18"/>
    </w:rPr>
  </w:style>
  <w:style w:type="paragraph" w:styleId="a7">
    <w:name w:val="List Paragraph"/>
    <w:basedOn w:val="a"/>
    <w:uiPriority w:val="34"/>
    <w:qFormat/>
    <w:rsid w:val="00E8616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no"?>
<Relationships xmlns="http://schemas.openxmlformats.org/package/2006/relationships">
<Relationship Id="rId1" Target="numbering.xml" Type="http://schemas.openxmlformats.org/officeDocument/2006/relationships/numbering"/>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ntTable.xml" Type="http://schemas.openxmlformats.org/officeDocument/2006/relationships/fontTable"/>
<Relationship Id="rId8"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51</Words>
  <Characters>293</Characters>
  <Application>Microsoft Office Word</Application>
  <DocSecurity>0</DocSecurity>
  <Lines>2</Lines>
  <Paragraphs>1</Paragraphs>
  <ScaleCrop>false</ScaleCrop>
  <Company/>
  <LinksUpToDate>false</LinksUpToDate>
  <CharactersWithSpaces>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liu hongbing</cp:lastModifiedBy>
  <dcterms:modified xsi:type="dcterms:W3CDTF">2020-06-23T16:43:00Z</dcterms:modified>
  <cp:revision>22</cp:revision>
</cp:coreProperties>
</file>