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Theme="minorEastAsia" w:hAnsiTheme="minorEastAsia" w:eastAsiaTheme="minorEastAsia" w:cstheme="minorEastAsia"/>
          <w:b/>
          <w:bCs/>
          <w:caps w:val="0"/>
          <w:color w:val="auto"/>
          <w:spacing w:val="0"/>
          <w:sz w:val="44"/>
          <w:szCs w:val="44"/>
        </w:rPr>
      </w:pPr>
      <w:r>
        <w:rPr>
          <w:rFonts w:hint="eastAsia" w:asciiTheme="minorEastAsia" w:hAnsiTheme="minorEastAsia" w:eastAsiaTheme="minorEastAsia" w:cstheme="minorEastAsia"/>
          <w:b/>
          <w:bCs/>
          <w:caps w:val="0"/>
          <w:color w:val="auto"/>
          <w:spacing w:val="0"/>
          <w:sz w:val="44"/>
          <w:szCs w:val="44"/>
          <w:bdr w:val="none" w:color="auto" w:sz="0" w:space="0"/>
          <w:shd w:val="clear" w:fill="FFFFFF"/>
        </w:rPr>
        <w:t>木垒县202</w:t>
      </w:r>
      <w:r>
        <w:rPr>
          <w:rFonts w:hint="eastAsia" w:asciiTheme="minorEastAsia" w:hAnsiTheme="minorEastAsia" w:eastAsiaTheme="minorEastAsia" w:cstheme="minorEastAsia"/>
          <w:b/>
          <w:bCs/>
          <w:caps w:val="0"/>
          <w:color w:val="auto"/>
          <w:spacing w:val="0"/>
          <w:sz w:val="44"/>
          <w:szCs w:val="44"/>
          <w:bdr w:val="none" w:color="auto" w:sz="0" w:space="0"/>
          <w:shd w:val="clear" w:fill="FFFFFF"/>
          <w:lang w:val="en-US" w:eastAsia="zh-CN"/>
        </w:rPr>
        <w:t>4</w:t>
      </w:r>
      <w:r>
        <w:rPr>
          <w:rFonts w:hint="eastAsia" w:asciiTheme="minorEastAsia" w:hAnsiTheme="minorEastAsia" w:eastAsiaTheme="minorEastAsia" w:cstheme="minorEastAsia"/>
          <w:b/>
          <w:bCs/>
          <w:caps w:val="0"/>
          <w:color w:val="auto"/>
          <w:spacing w:val="0"/>
          <w:sz w:val="44"/>
          <w:szCs w:val="44"/>
          <w:bdr w:val="none" w:color="auto" w:sz="0" w:space="0"/>
          <w:shd w:val="clear" w:fill="FFFFFF"/>
        </w:rPr>
        <w:t>年“三公”经费预算情况说明</w:t>
      </w:r>
    </w:p>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sz w:val="32"/>
          <w:szCs w:val="36"/>
        </w:rPr>
      </w:pPr>
    </w:p>
    <w:tbl>
      <w:tblPr>
        <w:tblStyle w:val="3"/>
        <w:tblW w:w="9539" w:type="dxa"/>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89"/>
        <w:gridCol w:w="2090"/>
        <w:gridCol w:w="2110"/>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89" w:type="dxa"/>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7</w:t>
            </w:r>
          </w:p>
        </w:tc>
        <w:tc>
          <w:tcPr>
            <w:tcW w:w="2090" w:type="dxa"/>
            <w:noWrap w:val="0"/>
            <w:vAlign w:val="center"/>
          </w:tcPr>
          <w:p>
            <w:pPr>
              <w:keepNext w:val="0"/>
              <w:keepLines w:val="0"/>
              <w:pageBreakBefore w:val="0"/>
              <w:kinsoku/>
              <w:wordWrap/>
              <w:overflowPunct/>
              <w:topLinePunct w:val="0"/>
              <w:bidi w:val="0"/>
              <w:adjustRightInd/>
              <w:snapToGrid/>
              <w:spacing w:line="560" w:lineRule="exact"/>
              <w:rPr>
                <w:rFonts w:hint="default" w:ascii="Times New Roman" w:hAnsi="Times New Roman" w:eastAsia="宋体" w:cs="Times New Roman"/>
                <w:i w:val="0"/>
                <w:color w:val="000000"/>
                <w:sz w:val="20"/>
                <w:szCs w:val="20"/>
                <w:u w:val="none"/>
              </w:rPr>
            </w:pPr>
          </w:p>
        </w:tc>
        <w:tc>
          <w:tcPr>
            <w:tcW w:w="2110" w:type="dxa"/>
            <w:noWrap w:val="0"/>
            <w:vAlign w:val="center"/>
          </w:tcPr>
          <w:p>
            <w:pPr>
              <w:keepNext w:val="0"/>
              <w:keepLines w:val="0"/>
              <w:pageBreakBefore w:val="0"/>
              <w:kinsoku/>
              <w:wordWrap/>
              <w:overflowPunct/>
              <w:topLinePunct w:val="0"/>
              <w:bidi w:val="0"/>
              <w:adjustRightInd/>
              <w:snapToGrid/>
              <w:spacing w:line="560" w:lineRule="exact"/>
              <w:rPr>
                <w:rFonts w:hint="default" w:ascii="Times New Roman" w:hAnsi="Times New Roman" w:eastAsia="宋体" w:cs="Times New Roman"/>
                <w:i w:val="0"/>
                <w:color w:val="000000"/>
                <w:sz w:val="20"/>
                <w:szCs w:val="20"/>
                <w:u w:val="none"/>
              </w:rPr>
            </w:pPr>
          </w:p>
        </w:tc>
        <w:tc>
          <w:tcPr>
            <w:tcW w:w="1750" w:type="dxa"/>
            <w:noWrap w:val="0"/>
            <w:vAlign w:val="center"/>
          </w:tcPr>
          <w:p>
            <w:pPr>
              <w:keepNext w:val="0"/>
              <w:keepLines w:val="0"/>
              <w:pageBreakBefore w:val="0"/>
              <w:kinsoku/>
              <w:wordWrap/>
              <w:overflowPunct/>
              <w:topLinePunct w:val="0"/>
              <w:bidi w:val="0"/>
              <w:adjustRightInd/>
              <w:snapToGrid/>
              <w:spacing w:line="56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39" w:type="dxa"/>
            <w:gridSpan w:val="4"/>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4年木垒县财政拨款</w:t>
            </w:r>
            <w:r>
              <w:rPr>
                <w:rFonts w:hint="default" w:ascii="Times New Roman" w:hAnsi="Times New Roman" w:eastAsia="宋体" w:cs="Times New Roman"/>
                <w:b/>
                <w:i w:val="0"/>
                <w:color w:val="000000"/>
                <w:kern w:val="0"/>
                <w:sz w:val="20"/>
                <w:szCs w:val="20"/>
                <w:u w:val="none"/>
                <w:lang w:val="en-US" w:eastAsia="zh-CN" w:bidi="ar"/>
              </w:rPr>
              <w:t>“三公”经费支出预算表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589" w:type="dxa"/>
            <w:noWrap w:val="0"/>
            <w:vAlign w:val="center"/>
          </w:tcPr>
          <w:p>
            <w:pPr>
              <w:keepNext w:val="0"/>
              <w:keepLines w:val="0"/>
              <w:pageBreakBefore w:val="0"/>
              <w:kinsoku/>
              <w:wordWrap/>
              <w:overflowPunct/>
              <w:topLinePunct w:val="0"/>
              <w:bidi w:val="0"/>
              <w:adjustRightInd/>
              <w:snapToGrid/>
              <w:spacing w:line="560" w:lineRule="exact"/>
              <w:rPr>
                <w:rFonts w:hint="default" w:ascii="Times New Roman" w:hAnsi="Times New Roman" w:eastAsia="宋体" w:cs="Times New Roman"/>
                <w:i w:val="0"/>
                <w:color w:val="000000"/>
                <w:sz w:val="20"/>
                <w:szCs w:val="20"/>
                <w:u w:val="none"/>
              </w:rPr>
            </w:pPr>
          </w:p>
        </w:tc>
        <w:tc>
          <w:tcPr>
            <w:tcW w:w="2090" w:type="dxa"/>
            <w:noWrap w:val="0"/>
            <w:vAlign w:val="center"/>
          </w:tcPr>
          <w:p>
            <w:pPr>
              <w:keepNext w:val="0"/>
              <w:keepLines w:val="0"/>
              <w:pageBreakBefore w:val="0"/>
              <w:kinsoku/>
              <w:wordWrap/>
              <w:overflowPunct/>
              <w:topLinePunct w:val="0"/>
              <w:bidi w:val="0"/>
              <w:adjustRightInd/>
              <w:snapToGrid/>
              <w:spacing w:line="560" w:lineRule="exact"/>
              <w:rPr>
                <w:rFonts w:hint="default" w:ascii="Times New Roman" w:hAnsi="Times New Roman" w:eastAsia="宋体" w:cs="Times New Roman"/>
                <w:i w:val="0"/>
                <w:color w:val="000000"/>
                <w:sz w:val="20"/>
                <w:szCs w:val="20"/>
                <w:u w:val="none"/>
              </w:rPr>
            </w:pPr>
          </w:p>
        </w:tc>
        <w:tc>
          <w:tcPr>
            <w:tcW w:w="3860" w:type="dxa"/>
            <w:gridSpan w:val="2"/>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        项目</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eastAsia="宋体" w:cs="Times New Roman"/>
                <w:b/>
                <w:i w:val="0"/>
                <w:color w:val="000000"/>
                <w:kern w:val="0"/>
                <w:sz w:val="20"/>
                <w:szCs w:val="20"/>
                <w:u w:val="none"/>
                <w:lang w:val="en-US" w:eastAsia="zh-CN" w:bidi="ar"/>
              </w:rPr>
              <w:t>年预算数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比上年</w:t>
            </w:r>
            <w:r>
              <w:rPr>
                <w:rFonts w:hint="eastAsia" w:cs="Times New Roman"/>
                <w:b/>
                <w:i w:val="0"/>
                <w:color w:val="000000"/>
                <w:kern w:val="0"/>
                <w:sz w:val="20"/>
                <w:szCs w:val="20"/>
                <w:u w:val="none"/>
                <w:lang w:val="en-US" w:eastAsia="zh-CN" w:bidi="ar"/>
              </w:rPr>
              <w:t>预算数</w:t>
            </w:r>
            <w:r>
              <w:rPr>
                <w:rFonts w:hint="default" w:ascii="Times New Roman" w:hAnsi="Times New Roman" w:eastAsia="宋体" w:cs="Times New Roman"/>
                <w:b/>
                <w:i w:val="0"/>
                <w:color w:val="000000"/>
                <w:kern w:val="0"/>
                <w:sz w:val="20"/>
                <w:szCs w:val="20"/>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lang w:val="en-US" w:eastAsia="zh-CN"/>
              </w:rPr>
            </w:pPr>
            <w:r>
              <w:rPr>
                <w:rFonts w:hint="eastAsia" w:ascii="Times New Roman" w:hAnsi="Times New Roman" w:eastAsia="方正小标宋_GBK" w:cs="Times New Roman"/>
                <w:i w:val="0"/>
                <w:color w:val="000000"/>
                <w:sz w:val="20"/>
                <w:szCs w:val="20"/>
                <w:u w:val="none"/>
                <w:lang w:val="en-US" w:eastAsia="zh-CN"/>
              </w:rPr>
              <w:t>830</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880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5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b/>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1.因公出国（境）费用</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5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2.公务接待费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241</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233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trPr>
        <w:tc>
          <w:tcPr>
            <w:tcW w:w="35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3.公务用车费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lang w:val="en-US" w:eastAsia="zh-CN"/>
              </w:rPr>
            </w:pPr>
            <w:r>
              <w:rPr>
                <w:rFonts w:hint="eastAsia" w:ascii="Times New Roman" w:hAnsi="Times New Roman" w:eastAsia="方正小标宋_GBK" w:cs="Times New Roman"/>
                <w:i w:val="0"/>
                <w:color w:val="000000"/>
                <w:sz w:val="20"/>
                <w:szCs w:val="20"/>
                <w:u w:val="none"/>
                <w:lang w:val="en-US" w:eastAsia="zh-CN"/>
              </w:rPr>
              <w:t>589</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647</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5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其中：（1）公务用车运行维护费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lang w:val="en-US" w:eastAsia="zh-CN"/>
              </w:rPr>
            </w:pPr>
            <w:r>
              <w:rPr>
                <w:rFonts w:hint="eastAsia" w:ascii="Times New Roman" w:hAnsi="Times New Roman" w:eastAsia="方正小标宋_GBK" w:cs="Times New Roman"/>
                <w:i w:val="0"/>
                <w:color w:val="000000"/>
                <w:sz w:val="20"/>
                <w:szCs w:val="20"/>
                <w:u w:val="none"/>
                <w:lang w:val="en-US" w:eastAsia="zh-CN"/>
              </w:rPr>
              <w:t>589</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629</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5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ind w:firstLine="600" w:firstLineChars="3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（2）公务用车购置费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18</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5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560" w:lineRule="exact"/>
              <w:jc w:val="center"/>
              <w:rPr>
                <w:rFonts w:hint="default" w:ascii="Times New Roman" w:hAnsi="Times New Roman" w:eastAsia="宋体" w:cs="Times New Roman"/>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一、木垒县预算单位、人员及车辆基本情况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highlight w:val="none"/>
          <w:lang w:val="en-US"/>
        </w:rPr>
      </w:pPr>
      <w:r>
        <w:rPr>
          <w:rFonts w:hint="eastAsia" w:ascii="仿宋_GB2312" w:hAnsi="仿宋_GB2312" w:eastAsia="仿宋_GB2312" w:cs="仿宋_GB2312"/>
          <w:sz w:val="32"/>
          <w:szCs w:val="36"/>
          <w:lang w:eastAsia="zh-CN"/>
        </w:rPr>
        <w:t>202</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lang w:eastAsia="zh-CN"/>
        </w:rPr>
        <w:t>年</w:t>
      </w:r>
      <w:r>
        <w:rPr>
          <w:rFonts w:hint="eastAsia" w:ascii="仿宋_GB2312" w:hAnsi="仿宋_GB2312" w:eastAsia="仿宋_GB2312" w:cs="仿宋_GB2312"/>
          <w:sz w:val="32"/>
          <w:szCs w:val="36"/>
        </w:rPr>
        <w:t>木垒县有1</w:t>
      </w:r>
      <w:r>
        <w:rPr>
          <w:rFonts w:hint="eastAsia" w:ascii="仿宋_GB2312" w:hAnsi="仿宋_GB2312" w:eastAsia="仿宋_GB2312" w:cs="仿宋_GB2312"/>
          <w:sz w:val="32"/>
          <w:szCs w:val="36"/>
          <w:lang w:val="en-US" w:eastAsia="zh-CN"/>
        </w:rPr>
        <w:t>06</w:t>
      </w:r>
      <w:r>
        <w:rPr>
          <w:rFonts w:hint="eastAsia" w:ascii="仿宋_GB2312" w:hAnsi="仿宋_GB2312" w:eastAsia="仿宋_GB2312" w:cs="仿宋_GB2312"/>
          <w:sz w:val="32"/>
          <w:szCs w:val="36"/>
        </w:rPr>
        <w:t>个一级预算单位，其中：</w:t>
      </w:r>
      <w:r>
        <w:rPr>
          <w:rFonts w:hint="default" w:ascii="仿宋_GB2312" w:hAnsi="仿宋_GB2312" w:eastAsia="仿宋_GB2312" w:cs="仿宋_GB2312"/>
          <w:sz w:val="32"/>
          <w:szCs w:val="36"/>
          <w:lang w:val="en-US" w:eastAsia="zh-Hans"/>
        </w:rPr>
        <w:t>财政供养人员共计</w:t>
      </w:r>
      <w:r>
        <w:rPr>
          <w:rFonts w:hint="eastAsia" w:ascii="仿宋_GB2312" w:hAnsi="仿宋_GB2312" w:eastAsia="仿宋_GB2312" w:cs="仿宋_GB2312"/>
          <w:sz w:val="32"/>
          <w:szCs w:val="36"/>
          <w:lang w:val="en-US" w:eastAsia="zh-CN"/>
        </w:rPr>
        <w:t>3870</w:t>
      </w:r>
      <w:r>
        <w:rPr>
          <w:rFonts w:hint="default" w:ascii="仿宋_GB2312" w:hAnsi="仿宋_GB2312" w:eastAsia="仿宋_GB2312" w:cs="仿宋_GB2312"/>
          <w:sz w:val="32"/>
          <w:szCs w:val="36"/>
          <w:lang w:val="en-US" w:eastAsia="zh-Hans"/>
        </w:rPr>
        <w:t>人，人员构成：行政人员</w:t>
      </w:r>
      <w:r>
        <w:rPr>
          <w:rFonts w:hint="eastAsia" w:ascii="仿宋_GB2312" w:hAnsi="仿宋_GB2312" w:eastAsia="仿宋_GB2312" w:cs="仿宋_GB2312"/>
          <w:sz w:val="32"/>
          <w:szCs w:val="36"/>
          <w:lang w:val="en-US" w:eastAsia="zh-CN"/>
        </w:rPr>
        <w:t>1810</w:t>
      </w:r>
      <w:r>
        <w:rPr>
          <w:rFonts w:hint="default" w:ascii="仿宋_GB2312" w:hAnsi="仿宋_GB2312" w:eastAsia="仿宋_GB2312" w:cs="仿宋_GB2312"/>
          <w:sz w:val="32"/>
          <w:szCs w:val="36"/>
          <w:lang w:val="en-US" w:eastAsia="zh-Hans"/>
        </w:rPr>
        <w:t>人，事业人员</w:t>
      </w:r>
      <w:r>
        <w:rPr>
          <w:rFonts w:hint="eastAsia" w:ascii="仿宋_GB2312" w:hAnsi="仿宋_GB2312" w:eastAsia="仿宋_GB2312" w:cs="仿宋_GB2312"/>
          <w:sz w:val="32"/>
          <w:szCs w:val="36"/>
          <w:lang w:val="en-US" w:eastAsia="zh-CN"/>
        </w:rPr>
        <w:t>2060</w:t>
      </w:r>
      <w:r>
        <w:rPr>
          <w:rFonts w:hint="default" w:ascii="仿宋_GB2312" w:hAnsi="仿宋_GB2312" w:eastAsia="仿宋_GB2312" w:cs="仿宋_GB2312"/>
          <w:sz w:val="32"/>
          <w:szCs w:val="36"/>
          <w:lang w:val="en-US" w:eastAsia="zh-Hans"/>
        </w:rPr>
        <w:t>人，离休人员</w:t>
      </w:r>
      <w:r>
        <w:rPr>
          <w:rFonts w:hint="eastAsia" w:ascii="仿宋_GB2312" w:hAnsi="仿宋_GB2312" w:eastAsia="仿宋_GB2312" w:cs="仿宋_GB2312"/>
          <w:sz w:val="32"/>
          <w:szCs w:val="36"/>
          <w:lang w:val="en-US" w:eastAsia="zh-CN"/>
        </w:rPr>
        <w:t>0</w:t>
      </w:r>
      <w:r>
        <w:rPr>
          <w:rFonts w:hint="default" w:ascii="仿宋_GB2312" w:hAnsi="仿宋_GB2312" w:eastAsia="仿宋_GB2312" w:cs="仿宋_GB2312"/>
          <w:sz w:val="32"/>
          <w:szCs w:val="36"/>
          <w:lang w:val="en-US" w:eastAsia="zh-Hans"/>
        </w:rPr>
        <w:t>人（退休人员根据机关事业单位养老保险制度改革工作要求已经交由社保管理）；</w:t>
      </w:r>
      <w:r>
        <w:rPr>
          <w:rFonts w:hint="default" w:ascii="仿宋_GB2312" w:hAnsi="仿宋_GB2312" w:eastAsia="仿宋_GB2312" w:cs="仿宋_GB2312"/>
          <w:sz w:val="32"/>
          <w:szCs w:val="36"/>
          <w:highlight w:val="none"/>
          <w:lang w:val="en-US" w:eastAsia="zh-Hans"/>
        </w:rPr>
        <w:t>公务用车总数</w:t>
      </w:r>
      <w:r>
        <w:rPr>
          <w:rFonts w:hint="eastAsia" w:ascii="仿宋_GB2312" w:hAnsi="仿宋_GB2312" w:eastAsia="仿宋_GB2312" w:cs="仿宋_GB2312"/>
          <w:sz w:val="32"/>
          <w:szCs w:val="36"/>
          <w:highlight w:val="none"/>
          <w:lang w:val="en-US" w:eastAsia="zh-CN"/>
        </w:rPr>
        <w:t>685</w:t>
      </w:r>
      <w:r>
        <w:rPr>
          <w:rFonts w:hint="default" w:ascii="仿宋_GB2312" w:hAnsi="仿宋_GB2312" w:eastAsia="仿宋_GB2312" w:cs="仿宋_GB2312"/>
          <w:sz w:val="32"/>
          <w:szCs w:val="36"/>
          <w:highlight w:val="none"/>
          <w:lang w:val="en-US" w:eastAsia="zh-Hans"/>
        </w:rPr>
        <w:t>辆</w:t>
      </w:r>
      <w:r>
        <w:rPr>
          <w:rFonts w:hint="eastAsia" w:ascii="仿宋_GB2312" w:hAnsi="仿宋_GB2312" w:eastAsia="仿宋_GB2312" w:cs="仿宋_GB2312"/>
          <w:sz w:val="32"/>
          <w:szCs w:val="36"/>
          <w:highlight w:val="none"/>
          <w:lang w:val="en-US" w:eastAsia="zh-CN"/>
        </w:rPr>
        <w:t>（包含一般公务用车、摩托车、特种车辆、执法车辆等）</w:t>
      </w:r>
      <w:r>
        <w:rPr>
          <w:rFonts w:hint="default" w:ascii="仿宋_GB2312" w:hAnsi="仿宋_GB2312" w:eastAsia="仿宋_GB2312" w:cs="仿宋_GB2312"/>
          <w:sz w:val="32"/>
          <w:szCs w:val="36"/>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lang w:val="en-US" w:eastAsia="zh-Hans"/>
        </w:rPr>
      </w:pPr>
      <w:r>
        <w:rPr>
          <w:rFonts w:hint="eastAsia" w:ascii="黑体" w:hAnsi="黑体" w:eastAsia="黑体" w:cs="黑体"/>
          <w:sz w:val="32"/>
          <w:szCs w:val="36"/>
        </w:rPr>
        <w:t>二、“三公”经费公开口径</w:t>
      </w:r>
      <w:bookmarkStart w:id="0" w:name="_GoBack"/>
      <w:bookmarkEnd w:id="0"/>
      <w:r>
        <w:rPr>
          <w:rFonts w:hint="eastAsia" w:ascii="黑体" w:hAnsi="黑体" w:eastAsia="黑体" w:cs="黑体"/>
          <w:sz w:val="32"/>
          <w:szCs w:val="36"/>
        </w:rPr>
        <w:br w:type="textWrapping"/>
      </w:r>
      <w:r>
        <w:rPr>
          <w:rFonts w:hint="eastAsia" w:ascii="仿宋_GB2312" w:hAnsi="仿宋_GB2312" w:eastAsia="仿宋_GB2312" w:cs="仿宋_GB2312"/>
          <w:sz w:val="32"/>
          <w:szCs w:val="36"/>
          <w:lang w:val="en-US" w:eastAsia="zh-Hans"/>
        </w:rPr>
        <w:t>    （一）因公出国（境）费</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lang w:val="en-US" w:eastAsia="zh-Hans"/>
        </w:rPr>
        <w:t>反映机关和参公事业单位公务出国（境）的国际旅费、国外城市间交通费、住宿费、伙食费、培训费、公杂费等支出</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lang w:val="en-US" w:eastAsia="zh-Hans"/>
        </w:rPr>
        <w:br w:type="textWrapping"/>
      </w:r>
      <w:r>
        <w:rPr>
          <w:rFonts w:hint="eastAsia" w:ascii="仿宋_GB2312" w:hAnsi="仿宋_GB2312" w:eastAsia="仿宋_GB2312" w:cs="仿宋_GB2312"/>
          <w:sz w:val="32"/>
          <w:szCs w:val="36"/>
          <w:lang w:val="en-US" w:eastAsia="zh-Hans"/>
        </w:rPr>
        <w:t>    （二）</w:t>
      </w:r>
      <w:r>
        <w:rPr>
          <w:rFonts w:hint="default" w:ascii="仿宋_GB2312" w:hAnsi="仿宋_GB2312" w:eastAsia="仿宋_GB2312" w:cs="仿宋_GB2312"/>
          <w:sz w:val="32"/>
          <w:szCs w:val="36"/>
          <w:lang w:val="en-US" w:eastAsia="zh-CN"/>
        </w:rPr>
        <w:t>公务用车费</w:t>
      </w:r>
      <w:r>
        <w:rPr>
          <w:rFonts w:hint="eastAsia" w:ascii="仿宋_GB2312" w:hAnsi="仿宋_GB2312" w:eastAsia="仿宋_GB2312" w:cs="仿宋_GB2312"/>
          <w:sz w:val="32"/>
          <w:szCs w:val="36"/>
          <w:lang w:val="en-US" w:eastAsia="zh-CN"/>
        </w:rPr>
        <w:t>：包括</w:t>
      </w:r>
      <w:r>
        <w:rPr>
          <w:rFonts w:hint="eastAsia" w:ascii="仿宋_GB2312" w:hAnsi="仿宋_GB2312" w:eastAsia="仿宋_GB2312" w:cs="仿宋_GB2312"/>
          <w:sz w:val="32"/>
          <w:szCs w:val="36"/>
          <w:lang w:val="en-US" w:eastAsia="zh-Hans"/>
        </w:rPr>
        <w:t>公务用车购置</w:t>
      </w:r>
      <w:r>
        <w:rPr>
          <w:rFonts w:hint="eastAsia" w:ascii="仿宋_GB2312" w:hAnsi="仿宋_GB2312" w:eastAsia="仿宋_GB2312" w:cs="仿宋_GB2312"/>
          <w:sz w:val="32"/>
          <w:szCs w:val="36"/>
          <w:lang w:val="en-US" w:eastAsia="zh-CN"/>
        </w:rPr>
        <w:t>及</w:t>
      </w:r>
      <w:r>
        <w:rPr>
          <w:rFonts w:hint="eastAsia" w:ascii="仿宋_GB2312" w:hAnsi="仿宋_GB2312" w:eastAsia="仿宋_GB2312" w:cs="仿宋_GB2312"/>
          <w:sz w:val="32"/>
          <w:szCs w:val="36"/>
          <w:lang w:val="en-US" w:eastAsia="zh-Hans"/>
        </w:rPr>
        <w:t>公务用车运行维护费</w:t>
      </w:r>
      <w:r>
        <w:rPr>
          <w:rFonts w:hint="eastAsia" w:ascii="仿宋_GB2312" w:hAnsi="仿宋_GB2312" w:eastAsia="仿宋_GB2312" w:cs="仿宋_GB2312"/>
          <w:sz w:val="32"/>
          <w:szCs w:val="36"/>
          <w:lang w:val="en-US" w:eastAsia="zh-CN"/>
        </w:rPr>
        <w:t>，其中：</w:t>
      </w:r>
      <w:r>
        <w:rPr>
          <w:rFonts w:hint="eastAsia" w:ascii="仿宋_GB2312" w:hAnsi="仿宋_GB2312" w:eastAsia="仿宋_GB2312" w:cs="仿宋_GB2312"/>
          <w:sz w:val="32"/>
          <w:szCs w:val="36"/>
          <w:lang w:val="en-US" w:eastAsia="zh-Hans"/>
        </w:rPr>
        <w:t>公务用车购置反映基本建设支出中安排机关和参公事业单位用于公务用车购置的支出（含车辆购置税、牌照费）；公务用车运行维护费反映单机关和参公事业单位按规定保留的公务用车燃料费、维修费、过桥过路费、保险费、安全奖励费用等支出</w:t>
      </w:r>
      <w:r>
        <w:rPr>
          <w:rFonts w:hint="eastAsia"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lang w:val="en-US" w:eastAsia="zh-Hans"/>
        </w:rPr>
        <w:br w:type="textWrapping"/>
      </w:r>
      <w:r>
        <w:rPr>
          <w:rFonts w:hint="eastAsia" w:ascii="仿宋_GB2312" w:hAnsi="仿宋_GB2312" w:eastAsia="仿宋_GB2312" w:cs="仿宋_GB2312"/>
          <w:sz w:val="32"/>
          <w:szCs w:val="36"/>
          <w:lang w:val="en-US" w:eastAsia="zh-Hans"/>
        </w:rPr>
        <w:t>    （三）公务接待费反映机关和参公事业单位按规定开支的各类公务接待（含外宾接待）费用。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三、</w:t>
      </w:r>
      <w:r>
        <w:rPr>
          <w:rFonts w:hint="eastAsia" w:ascii="黑体" w:hAnsi="黑体" w:eastAsia="黑体" w:cs="黑体"/>
          <w:sz w:val="32"/>
          <w:szCs w:val="36"/>
          <w:lang w:eastAsia="zh-CN"/>
        </w:rPr>
        <w:t>202</w:t>
      </w:r>
      <w:r>
        <w:rPr>
          <w:rFonts w:hint="eastAsia" w:ascii="黑体" w:hAnsi="黑体" w:eastAsia="黑体" w:cs="黑体"/>
          <w:sz w:val="32"/>
          <w:szCs w:val="36"/>
          <w:lang w:val="en-US" w:eastAsia="zh-CN"/>
        </w:rPr>
        <w:t>4</w:t>
      </w:r>
      <w:r>
        <w:rPr>
          <w:rFonts w:hint="eastAsia" w:ascii="黑体" w:hAnsi="黑体" w:eastAsia="黑体" w:cs="黑体"/>
          <w:sz w:val="32"/>
          <w:szCs w:val="36"/>
          <w:lang w:eastAsia="zh-CN"/>
        </w:rPr>
        <w:t>年</w:t>
      </w:r>
      <w:r>
        <w:rPr>
          <w:rFonts w:hint="eastAsia" w:ascii="黑体" w:hAnsi="黑体" w:eastAsia="黑体" w:cs="黑体"/>
          <w:sz w:val="32"/>
          <w:szCs w:val="36"/>
        </w:rPr>
        <w:t>“三公”经费预算总额情况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outlineLvl w:val="9"/>
        <w:rPr>
          <w:rFonts w:hint="default" w:ascii="仿宋_GB2312" w:hAnsi="仿宋_GB2312" w:eastAsia="仿宋_GB2312" w:cs="仿宋_GB2312"/>
          <w:b/>
          <w:bCs/>
          <w:color w:val="000000"/>
          <w:kern w:val="0"/>
          <w:sz w:val="32"/>
          <w:szCs w:val="32"/>
          <w:lang w:val="en-US" w:eastAsia="zh-Hans" w:bidi="ar"/>
        </w:rPr>
      </w:pPr>
      <w:r>
        <w:rPr>
          <w:rFonts w:hint="default" w:ascii="仿宋_GB2312" w:hAnsi="仿宋_GB2312" w:eastAsia="仿宋_GB2312" w:cs="仿宋_GB2312"/>
          <w:b/>
          <w:bCs/>
          <w:color w:val="000000"/>
          <w:kern w:val="0"/>
          <w:sz w:val="32"/>
          <w:szCs w:val="32"/>
          <w:lang w:val="en-US" w:eastAsia="zh-Hans" w:bidi="ar"/>
        </w:rPr>
        <w:t>1</w:t>
      </w:r>
      <w:r>
        <w:rPr>
          <w:rFonts w:hint="default" w:ascii="仿宋_GB2312" w:hAnsi="仿宋_GB2312" w:eastAsia="仿宋_GB2312" w:cs="仿宋_GB2312"/>
          <w:b/>
          <w:bCs/>
          <w:color w:val="000000"/>
          <w:kern w:val="0"/>
          <w:sz w:val="32"/>
          <w:szCs w:val="32"/>
          <w:lang w:val="en-US" w:eastAsia="zh-CN" w:bidi="ar"/>
        </w:rPr>
        <w:t>.</w:t>
      </w:r>
      <w:r>
        <w:rPr>
          <w:rFonts w:hint="default" w:ascii="仿宋_GB2312" w:hAnsi="仿宋_GB2312" w:eastAsia="仿宋_GB2312" w:cs="仿宋_GB2312"/>
          <w:b/>
          <w:bCs/>
          <w:color w:val="000000"/>
          <w:kern w:val="0"/>
          <w:sz w:val="32"/>
          <w:szCs w:val="32"/>
          <w:lang w:val="en-US" w:eastAsia="zh-Hans" w:bidi="ar"/>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6"/>
          <w:lang w:eastAsia="zh-Hans"/>
        </w:rPr>
      </w:pPr>
      <w:r>
        <w:rPr>
          <w:rFonts w:hint="default" w:ascii="仿宋_GB2312" w:hAnsi="仿宋_GB2312" w:eastAsia="仿宋_GB2312" w:cs="仿宋_GB2312"/>
          <w:sz w:val="32"/>
          <w:szCs w:val="36"/>
          <w:lang w:eastAsia="zh-Hans"/>
        </w:rPr>
        <w:t>20</w:t>
      </w:r>
      <w:r>
        <w:rPr>
          <w:rFonts w:hint="eastAsia" w:ascii="仿宋_GB2312" w:hAnsi="仿宋_GB2312" w:eastAsia="仿宋_GB2312" w:cs="仿宋_GB2312"/>
          <w:sz w:val="32"/>
          <w:szCs w:val="36"/>
          <w:lang w:val="en-US" w:eastAsia="zh-CN"/>
        </w:rPr>
        <w:t>24</w:t>
      </w:r>
      <w:r>
        <w:rPr>
          <w:rFonts w:hint="default" w:ascii="仿宋_GB2312" w:hAnsi="仿宋_GB2312" w:eastAsia="仿宋_GB2312" w:cs="仿宋_GB2312"/>
          <w:sz w:val="32"/>
          <w:szCs w:val="36"/>
          <w:lang w:val="en-US" w:eastAsia="zh-Hans"/>
        </w:rPr>
        <w:t>年</w:t>
      </w:r>
      <w:r>
        <w:rPr>
          <w:rFonts w:hint="eastAsia" w:ascii="仿宋_GB2312" w:hAnsi="仿宋_GB2312" w:eastAsia="仿宋_GB2312" w:cs="仿宋_GB2312"/>
          <w:sz w:val="32"/>
          <w:szCs w:val="36"/>
          <w:lang w:val="en-US" w:eastAsia="zh-CN"/>
        </w:rPr>
        <w:t>木垒县</w:t>
      </w:r>
      <w:r>
        <w:rPr>
          <w:rFonts w:hint="default" w:ascii="仿宋_GB2312" w:hAnsi="仿宋_GB2312" w:eastAsia="仿宋_GB2312" w:cs="仿宋_GB2312"/>
          <w:sz w:val="32"/>
          <w:szCs w:val="36"/>
          <w:lang w:eastAsia="zh-Hans"/>
        </w:rPr>
        <w:t>“</w:t>
      </w:r>
      <w:r>
        <w:rPr>
          <w:rFonts w:hint="default" w:ascii="仿宋_GB2312" w:hAnsi="仿宋_GB2312" w:eastAsia="仿宋_GB2312" w:cs="仿宋_GB2312"/>
          <w:sz w:val="32"/>
          <w:szCs w:val="36"/>
          <w:lang w:val="en-US" w:eastAsia="zh-Hans"/>
        </w:rPr>
        <w:t>三公</w:t>
      </w:r>
      <w:r>
        <w:rPr>
          <w:rFonts w:hint="default" w:ascii="仿宋_GB2312" w:hAnsi="仿宋_GB2312" w:eastAsia="仿宋_GB2312" w:cs="仿宋_GB2312"/>
          <w:sz w:val="32"/>
          <w:szCs w:val="36"/>
          <w:lang w:eastAsia="zh-Hans"/>
        </w:rPr>
        <w:t>”</w:t>
      </w:r>
      <w:r>
        <w:rPr>
          <w:rFonts w:hint="default" w:ascii="仿宋_GB2312" w:hAnsi="仿宋_GB2312" w:eastAsia="仿宋_GB2312" w:cs="仿宋_GB2312"/>
          <w:sz w:val="32"/>
          <w:szCs w:val="36"/>
          <w:lang w:val="en-US" w:eastAsia="zh-Hans"/>
        </w:rPr>
        <w:t>经费预算支出</w:t>
      </w:r>
      <w:r>
        <w:rPr>
          <w:rFonts w:hint="eastAsia" w:ascii="仿宋_GB2312" w:hAnsi="仿宋_GB2312" w:eastAsia="仿宋_GB2312" w:cs="仿宋_GB2312"/>
          <w:sz w:val="32"/>
          <w:szCs w:val="36"/>
          <w:lang w:val="en-US" w:eastAsia="zh-CN"/>
        </w:rPr>
        <w:t>880</w:t>
      </w:r>
      <w:r>
        <w:rPr>
          <w:rFonts w:hint="default" w:ascii="仿宋_GB2312" w:hAnsi="仿宋_GB2312" w:eastAsia="仿宋_GB2312" w:cs="仿宋_GB2312"/>
          <w:sz w:val="32"/>
          <w:szCs w:val="36"/>
          <w:lang w:val="en-US" w:eastAsia="zh-Hans"/>
        </w:rPr>
        <w:t>万元，较上年</w:t>
      </w:r>
      <w:r>
        <w:rPr>
          <w:rFonts w:hint="eastAsia" w:ascii="仿宋_GB2312" w:hAnsi="仿宋_GB2312" w:eastAsia="仿宋_GB2312" w:cs="仿宋_GB2312"/>
          <w:sz w:val="32"/>
          <w:szCs w:val="36"/>
          <w:lang w:val="en-US" w:eastAsia="zh-CN"/>
        </w:rPr>
        <w:t>增加50</w:t>
      </w:r>
      <w:r>
        <w:rPr>
          <w:rFonts w:hint="default" w:ascii="仿宋_GB2312" w:hAnsi="仿宋_GB2312" w:eastAsia="仿宋_GB2312" w:cs="仿宋_GB2312"/>
          <w:sz w:val="32"/>
          <w:szCs w:val="36"/>
          <w:lang w:val="en-US" w:eastAsia="zh-Hans"/>
        </w:rPr>
        <w:t>万元，增加</w:t>
      </w:r>
      <w:r>
        <w:rPr>
          <w:rFonts w:hint="eastAsia" w:ascii="仿宋_GB2312" w:hAnsi="仿宋_GB2312" w:eastAsia="仿宋_GB2312" w:cs="仿宋_GB2312"/>
          <w:sz w:val="32"/>
          <w:szCs w:val="36"/>
          <w:lang w:val="en-US" w:eastAsia="zh-CN"/>
        </w:rPr>
        <w:t>6</w:t>
      </w:r>
      <w:r>
        <w:rPr>
          <w:rFonts w:hint="default" w:ascii="仿宋_GB2312" w:hAnsi="仿宋_GB2312" w:eastAsia="仿宋_GB2312" w:cs="仿宋_GB2312"/>
          <w:sz w:val="32"/>
          <w:szCs w:val="36"/>
          <w:lang w:eastAsia="zh-Hans"/>
        </w:rPr>
        <w:t>%，</w:t>
      </w:r>
      <w:r>
        <w:rPr>
          <w:rFonts w:hint="default" w:ascii="仿宋_GB2312" w:hAnsi="仿宋_GB2312" w:eastAsia="仿宋_GB2312" w:cs="仿宋_GB2312"/>
          <w:sz w:val="32"/>
          <w:szCs w:val="36"/>
          <w:lang w:val="en-US" w:eastAsia="zh-Hans"/>
        </w:rPr>
        <w:t>其中</w:t>
      </w:r>
      <w:r>
        <w:rPr>
          <w:rFonts w:hint="eastAsia" w:ascii="仿宋_GB2312" w:hAnsi="仿宋_GB2312" w:eastAsia="仿宋_GB2312" w:cs="仿宋_GB2312"/>
          <w:sz w:val="32"/>
          <w:szCs w:val="36"/>
          <w:lang w:val="en-US" w:eastAsia="zh-CN"/>
        </w:rPr>
        <w:t>：</w:t>
      </w:r>
      <w:r>
        <w:rPr>
          <w:rFonts w:hint="default" w:ascii="仿宋_GB2312" w:hAnsi="仿宋_GB2312" w:eastAsia="仿宋_GB2312" w:cs="仿宋_GB2312"/>
          <w:sz w:val="32"/>
          <w:szCs w:val="36"/>
          <w:lang w:val="en-US" w:eastAsia="zh-Hans"/>
        </w:rPr>
        <w:t>公务接待费</w:t>
      </w:r>
      <w:r>
        <w:rPr>
          <w:rFonts w:hint="eastAsia" w:ascii="仿宋_GB2312" w:hAnsi="仿宋_GB2312" w:eastAsia="仿宋_GB2312" w:cs="仿宋_GB2312"/>
          <w:sz w:val="32"/>
          <w:szCs w:val="36"/>
          <w:lang w:val="en-US" w:eastAsia="zh-CN"/>
        </w:rPr>
        <w:t>233</w:t>
      </w:r>
      <w:r>
        <w:rPr>
          <w:rFonts w:hint="default" w:ascii="仿宋_GB2312" w:hAnsi="仿宋_GB2312" w:eastAsia="仿宋_GB2312" w:cs="仿宋_GB2312"/>
          <w:sz w:val="32"/>
          <w:szCs w:val="36"/>
          <w:lang w:val="en-US" w:eastAsia="zh-Hans"/>
        </w:rPr>
        <w:t>万元，因公出国（境）费用</w:t>
      </w:r>
      <w:r>
        <w:rPr>
          <w:rFonts w:hint="eastAsia" w:ascii="仿宋_GB2312" w:hAnsi="仿宋_GB2312" w:eastAsia="仿宋_GB2312" w:cs="仿宋_GB2312"/>
          <w:sz w:val="32"/>
          <w:szCs w:val="36"/>
          <w:lang w:val="en-US" w:eastAsia="zh-CN"/>
        </w:rPr>
        <w:t>0</w:t>
      </w:r>
      <w:r>
        <w:rPr>
          <w:rFonts w:hint="default" w:ascii="仿宋_GB2312" w:hAnsi="仿宋_GB2312" w:eastAsia="仿宋_GB2312" w:cs="仿宋_GB2312"/>
          <w:sz w:val="32"/>
          <w:szCs w:val="36"/>
          <w:lang w:val="en-US" w:eastAsia="zh-Hans"/>
        </w:rPr>
        <w:t>万元，公车费用</w:t>
      </w:r>
      <w:r>
        <w:rPr>
          <w:rFonts w:hint="eastAsia" w:ascii="仿宋_GB2312" w:hAnsi="仿宋_GB2312" w:eastAsia="仿宋_GB2312" w:cs="仿宋_GB2312"/>
          <w:sz w:val="32"/>
          <w:szCs w:val="36"/>
          <w:lang w:val="en-US" w:eastAsia="zh-CN"/>
        </w:rPr>
        <w:t>647</w:t>
      </w:r>
      <w:r>
        <w:rPr>
          <w:rFonts w:hint="default" w:ascii="仿宋_GB2312" w:hAnsi="仿宋_GB2312" w:eastAsia="仿宋_GB2312" w:cs="仿宋_GB2312"/>
          <w:sz w:val="32"/>
          <w:szCs w:val="36"/>
          <w:lang w:val="en-US" w:eastAsia="zh-Hans"/>
        </w:rPr>
        <w:t>万元（包括车辆购置费</w:t>
      </w:r>
      <w:r>
        <w:rPr>
          <w:rFonts w:hint="eastAsia" w:ascii="仿宋_GB2312" w:hAnsi="仿宋_GB2312" w:eastAsia="仿宋_GB2312" w:cs="仿宋_GB2312"/>
          <w:sz w:val="32"/>
          <w:szCs w:val="36"/>
          <w:lang w:val="en-US" w:eastAsia="zh-CN"/>
        </w:rPr>
        <w:t>18</w:t>
      </w:r>
      <w:r>
        <w:rPr>
          <w:rFonts w:hint="default" w:ascii="仿宋_GB2312" w:hAnsi="仿宋_GB2312" w:eastAsia="仿宋_GB2312" w:cs="仿宋_GB2312"/>
          <w:sz w:val="32"/>
          <w:szCs w:val="36"/>
          <w:lang w:val="en-US" w:eastAsia="zh-Hans"/>
        </w:rPr>
        <w:t>万元，车辆运行及维护费</w:t>
      </w:r>
      <w:r>
        <w:rPr>
          <w:rFonts w:hint="eastAsia" w:ascii="仿宋_GB2312" w:hAnsi="仿宋_GB2312" w:eastAsia="仿宋_GB2312" w:cs="仿宋_GB2312"/>
          <w:sz w:val="32"/>
          <w:szCs w:val="36"/>
          <w:lang w:val="en-US" w:eastAsia="zh-CN"/>
        </w:rPr>
        <w:t>629</w:t>
      </w:r>
      <w:r>
        <w:rPr>
          <w:rFonts w:hint="default" w:ascii="仿宋_GB2312" w:hAnsi="仿宋_GB2312" w:eastAsia="仿宋_GB2312" w:cs="仿宋_GB2312"/>
          <w:sz w:val="32"/>
          <w:szCs w:val="36"/>
          <w:lang w:val="en-US" w:eastAsia="zh-Hans"/>
        </w:rPr>
        <w:t>万元）。</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Hans" w:bidi="ar"/>
        </w:rPr>
      </w:pPr>
      <w:r>
        <w:rPr>
          <w:rFonts w:hint="eastAsia"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b/>
          <w:bCs/>
          <w:color w:val="000000"/>
          <w:kern w:val="0"/>
          <w:sz w:val="32"/>
          <w:szCs w:val="32"/>
          <w:lang w:val="en-US" w:eastAsia="zh-Hans" w:bidi="ar"/>
        </w:rPr>
        <w:t>增减变化原因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因公出国（境）费0万元，</w:t>
      </w:r>
      <w:r>
        <w:rPr>
          <w:rFonts w:hint="eastAsia" w:ascii="仿宋_GB2312" w:hAnsi="仿宋_GB2312" w:eastAsia="仿宋_GB2312" w:cs="仿宋_GB2312"/>
          <w:sz w:val="32"/>
          <w:szCs w:val="36"/>
          <w:lang w:val="en-US" w:eastAsia="zh-CN"/>
        </w:rPr>
        <w:t>与</w:t>
      </w:r>
      <w:r>
        <w:rPr>
          <w:rFonts w:hint="eastAsia" w:ascii="仿宋_GB2312" w:hAnsi="仿宋_GB2312" w:eastAsia="仿宋_GB2312" w:cs="仿宋_GB2312"/>
          <w:sz w:val="32"/>
          <w:szCs w:val="36"/>
        </w:rPr>
        <w:t>上年持平。公务接待费安排</w:t>
      </w:r>
      <w:r>
        <w:rPr>
          <w:rFonts w:hint="eastAsia" w:ascii="仿宋_GB2312" w:hAnsi="仿宋_GB2312" w:eastAsia="仿宋_GB2312" w:cs="仿宋_GB2312"/>
          <w:sz w:val="32"/>
          <w:szCs w:val="36"/>
          <w:lang w:val="en-US" w:eastAsia="zh-CN"/>
        </w:rPr>
        <w:t>233</w:t>
      </w:r>
      <w:r>
        <w:rPr>
          <w:rFonts w:hint="eastAsia" w:ascii="仿宋_GB2312" w:hAnsi="仿宋_GB2312" w:eastAsia="仿宋_GB2312" w:cs="仿宋_GB2312"/>
          <w:sz w:val="32"/>
          <w:szCs w:val="36"/>
        </w:rPr>
        <w:t>万元，较上年</w:t>
      </w:r>
      <w:r>
        <w:rPr>
          <w:rFonts w:hint="eastAsia" w:ascii="仿宋_GB2312" w:hAnsi="仿宋_GB2312" w:eastAsia="仿宋_GB2312" w:cs="仿宋_GB2312"/>
          <w:sz w:val="32"/>
          <w:szCs w:val="36"/>
          <w:lang w:eastAsia="zh-CN"/>
        </w:rPr>
        <w:t>减少</w:t>
      </w:r>
      <w:r>
        <w:rPr>
          <w:rFonts w:hint="eastAsia" w:ascii="仿宋_GB2312" w:hAnsi="仿宋_GB2312" w:eastAsia="仿宋_GB2312" w:cs="仿宋_GB2312"/>
          <w:sz w:val="32"/>
          <w:szCs w:val="36"/>
          <w:lang w:val="en-US" w:eastAsia="zh-CN"/>
        </w:rPr>
        <w:t>8</w:t>
      </w:r>
      <w:r>
        <w:rPr>
          <w:rFonts w:hint="eastAsia" w:ascii="仿宋_GB2312" w:hAnsi="仿宋_GB2312" w:eastAsia="仿宋_GB2312" w:cs="仿宋_GB2312"/>
          <w:sz w:val="32"/>
          <w:szCs w:val="36"/>
        </w:rPr>
        <w:t>万元，</w:t>
      </w:r>
      <w:r>
        <w:rPr>
          <w:rFonts w:hint="eastAsia" w:ascii="仿宋_GB2312" w:hAnsi="仿宋_GB2312" w:eastAsia="仿宋_GB2312" w:cs="仿宋_GB2312"/>
          <w:sz w:val="32"/>
          <w:szCs w:val="36"/>
          <w:lang w:eastAsia="zh-CN"/>
        </w:rPr>
        <w:t>下降</w:t>
      </w:r>
      <w:r>
        <w:rPr>
          <w:rFonts w:hint="eastAsia" w:ascii="仿宋_GB2312" w:hAnsi="仿宋_GB2312" w:eastAsia="仿宋_GB2312" w:cs="仿宋_GB2312"/>
          <w:sz w:val="32"/>
          <w:szCs w:val="36"/>
          <w:lang w:val="en-US" w:eastAsia="zh-CN"/>
        </w:rPr>
        <w:t>3</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主要是</w:t>
      </w:r>
      <w:r>
        <w:rPr>
          <w:rFonts w:hint="eastAsia" w:ascii="仿宋_GB2312" w:hAnsi="仿宋_GB2312" w:eastAsia="仿宋_GB2312" w:cs="仿宋_GB2312"/>
          <w:sz w:val="32"/>
          <w:szCs w:val="36"/>
        </w:rPr>
        <w:t>贯彻落实中央、自治区以及县党委厉行节约的各项规定，</w:t>
      </w:r>
      <w:r>
        <w:rPr>
          <w:rFonts w:hint="eastAsia" w:ascii="仿宋_GB2312" w:hAnsi="仿宋_GB2312" w:eastAsia="仿宋_GB2312" w:cs="仿宋_GB2312"/>
          <w:sz w:val="32"/>
          <w:szCs w:val="36"/>
          <w:lang w:eastAsia="zh-CN"/>
        </w:rPr>
        <w:t>过紧日子思想</w:t>
      </w:r>
      <w:r>
        <w:rPr>
          <w:rFonts w:hint="eastAsia" w:ascii="仿宋_GB2312" w:hAnsi="仿宋_GB2312" w:eastAsia="仿宋_GB2312" w:cs="仿宋_GB2312"/>
          <w:sz w:val="32"/>
          <w:szCs w:val="36"/>
        </w:rPr>
        <w:t>；公务用车购置及运行维护费</w:t>
      </w:r>
      <w:r>
        <w:rPr>
          <w:rFonts w:hint="eastAsia" w:ascii="仿宋_GB2312" w:hAnsi="仿宋_GB2312" w:eastAsia="仿宋_GB2312" w:cs="仿宋_GB2312"/>
          <w:sz w:val="32"/>
          <w:szCs w:val="36"/>
          <w:lang w:val="en-US" w:eastAsia="zh-CN"/>
        </w:rPr>
        <w:t>647</w:t>
      </w:r>
      <w:r>
        <w:rPr>
          <w:rFonts w:hint="eastAsia" w:ascii="仿宋_GB2312" w:hAnsi="仿宋_GB2312" w:eastAsia="仿宋_GB2312" w:cs="仿宋_GB2312"/>
          <w:sz w:val="32"/>
          <w:szCs w:val="36"/>
        </w:rPr>
        <w:t>万元，较上年</w:t>
      </w:r>
      <w:r>
        <w:rPr>
          <w:rFonts w:hint="eastAsia" w:ascii="仿宋_GB2312" w:hAnsi="仿宋_GB2312" w:eastAsia="仿宋_GB2312" w:cs="仿宋_GB2312"/>
          <w:sz w:val="32"/>
          <w:szCs w:val="36"/>
          <w:lang w:val="en-US" w:eastAsia="zh-CN"/>
        </w:rPr>
        <w:t>增加58</w:t>
      </w:r>
      <w:r>
        <w:rPr>
          <w:rFonts w:hint="eastAsia" w:ascii="仿宋_GB2312" w:hAnsi="仿宋_GB2312" w:eastAsia="仿宋_GB2312" w:cs="仿宋_GB2312"/>
          <w:sz w:val="32"/>
          <w:szCs w:val="36"/>
        </w:rPr>
        <w:t>万元，</w:t>
      </w:r>
      <w:r>
        <w:rPr>
          <w:rFonts w:hint="eastAsia" w:ascii="仿宋_GB2312" w:hAnsi="仿宋_GB2312" w:eastAsia="仿宋_GB2312" w:cs="仿宋_GB2312"/>
          <w:sz w:val="32"/>
          <w:szCs w:val="36"/>
          <w:lang w:val="en-US" w:eastAsia="zh-CN"/>
        </w:rPr>
        <w:t>增长9.8</w:t>
      </w:r>
      <w:r>
        <w:rPr>
          <w:rFonts w:hint="eastAsia" w:ascii="仿宋_GB2312" w:hAnsi="仿宋_GB2312" w:eastAsia="仿宋_GB2312" w:cs="仿宋_GB2312"/>
          <w:sz w:val="32"/>
          <w:szCs w:val="36"/>
        </w:rPr>
        <w:t>%。其中：公务用车运行维护费</w:t>
      </w:r>
      <w:r>
        <w:rPr>
          <w:rFonts w:hint="eastAsia" w:ascii="仿宋_GB2312" w:hAnsi="仿宋_GB2312" w:eastAsia="仿宋_GB2312" w:cs="仿宋_GB2312"/>
          <w:sz w:val="32"/>
          <w:szCs w:val="36"/>
          <w:lang w:val="en-US" w:eastAsia="zh-CN"/>
        </w:rPr>
        <w:t>629</w:t>
      </w:r>
      <w:r>
        <w:rPr>
          <w:rFonts w:hint="eastAsia" w:ascii="仿宋_GB2312" w:hAnsi="仿宋_GB2312" w:eastAsia="仿宋_GB2312" w:cs="仿宋_GB2312"/>
          <w:sz w:val="32"/>
          <w:szCs w:val="36"/>
        </w:rPr>
        <w:t>万元，较上年</w:t>
      </w:r>
      <w:r>
        <w:rPr>
          <w:rFonts w:hint="eastAsia" w:ascii="仿宋_GB2312" w:hAnsi="仿宋_GB2312" w:eastAsia="仿宋_GB2312" w:cs="仿宋_GB2312"/>
          <w:sz w:val="32"/>
          <w:szCs w:val="36"/>
          <w:lang w:val="en-US" w:eastAsia="zh-CN"/>
        </w:rPr>
        <w:t>增加40</w:t>
      </w:r>
      <w:r>
        <w:rPr>
          <w:rFonts w:hint="eastAsia" w:ascii="仿宋_GB2312" w:hAnsi="仿宋_GB2312" w:eastAsia="仿宋_GB2312" w:cs="仿宋_GB2312"/>
          <w:sz w:val="32"/>
          <w:szCs w:val="36"/>
        </w:rPr>
        <w:t>万元，</w:t>
      </w:r>
      <w:r>
        <w:rPr>
          <w:rFonts w:hint="eastAsia" w:ascii="仿宋_GB2312" w:hAnsi="仿宋_GB2312" w:eastAsia="仿宋_GB2312" w:cs="仿宋_GB2312"/>
          <w:sz w:val="32"/>
          <w:szCs w:val="36"/>
          <w:lang w:val="en-US" w:eastAsia="zh-CN"/>
        </w:rPr>
        <w:t>增长</w:t>
      </w:r>
      <w:r>
        <w:rPr>
          <w:rFonts w:hint="eastAsia" w:ascii="仿宋_GB2312" w:hAnsi="仿宋_GB2312" w:eastAsia="仿宋_GB2312" w:cs="仿宋_GB2312"/>
          <w:sz w:val="32"/>
          <w:szCs w:val="36"/>
        </w:rPr>
        <w:t>9.17%</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增长主要原因：2023年根据上级节能减排要求，配置一批新能源汽车，公务用车数量增加，导致公务用车运行维护费增加</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公务用车购置费</w:t>
      </w:r>
      <w:r>
        <w:rPr>
          <w:rFonts w:hint="eastAsia" w:ascii="仿宋_GB2312" w:hAnsi="仿宋_GB2312" w:eastAsia="仿宋_GB2312" w:cs="仿宋_GB2312"/>
          <w:sz w:val="32"/>
          <w:szCs w:val="36"/>
          <w:lang w:val="en-US" w:eastAsia="zh-CN"/>
        </w:rPr>
        <w:t>18</w:t>
      </w:r>
      <w:r>
        <w:rPr>
          <w:rFonts w:hint="eastAsia" w:ascii="仿宋_GB2312" w:hAnsi="仿宋_GB2312" w:eastAsia="仿宋_GB2312" w:cs="仿宋_GB2312"/>
          <w:sz w:val="32"/>
          <w:szCs w:val="36"/>
        </w:rPr>
        <w:t>万元，较上年</w:t>
      </w:r>
      <w:r>
        <w:rPr>
          <w:rFonts w:hint="eastAsia" w:ascii="仿宋_GB2312" w:hAnsi="仿宋_GB2312" w:eastAsia="仿宋_GB2312" w:cs="仿宋_GB2312"/>
          <w:sz w:val="32"/>
          <w:szCs w:val="36"/>
          <w:lang w:val="en-US" w:eastAsia="zh-CN"/>
        </w:rPr>
        <w:t>增加18</w:t>
      </w:r>
      <w:r>
        <w:rPr>
          <w:rFonts w:hint="eastAsia" w:ascii="仿宋_GB2312" w:hAnsi="仿宋_GB2312" w:eastAsia="仿宋_GB2312" w:cs="仿宋_GB2312"/>
          <w:sz w:val="32"/>
          <w:szCs w:val="36"/>
        </w:rPr>
        <w:t>万元</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增长100%（增长原因为司法局公车使用年限在十年以上，车辆维修频繁，2024年从中央政法转移支付资金中购置新能源汽车一辆）</w:t>
      </w:r>
      <w:r>
        <w:rPr>
          <w:rFonts w:hint="eastAsia" w:ascii="仿宋_GB2312" w:hAnsi="仿宋_GB2312" w:eastAsia="仿宋_GB2312" w:cs="仿宋_GB2312"/>
          <w:sz w:val="32"/>
          <w:szCs w:val="36"/>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517E5"/>
    <w:rsid w:val="0985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2024-03-18T02:50:00Z</dcterms:created>
  <dc:creator>admin</dc:creator>
  <cp:lastModifiedBy>admin</cp:lastModifiedBy>
  <dcterms:modified xsi:type="dcterms:W3CDTF">2024-03-18T02:56:30Z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