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ind w:left="0"/>
        <w:rPr>
          <w:rFonts w:ascii="Times New Roman"/>
          <w:sz w:val="20"/>
        </w:rPr>
      </w:pPr>
    </w:p>
    <w:p>
      <w:pPr>
        <w:pStyle w:val="4"/>
        <w:spacing w:before="6"/>
        <w:ind w:left="0"/>
        <w:rPr>
          <w:rFonts w:ascii="Times New Roman"/>
          <w:sz w:val="28"/>
        </w:rPr>
      </w:pPr>
    </w:p>
    <w:p>
      <w:pPr>
        <w:pStyle w:val="2"/>
        <w:tabs>
          <w:tab w:val="left" w:pos="16940"/>
        </w:tabs>
        <w:ind w:firstLine="1200" w:firstLineChars="250"/>
        <w:jc w:val="both"/>
        <w:rPr>
          <w:rFonts w:hint="eastAsia" w:ascii="仿宋_GB2312" w:hAnsi="仿宋_GB2312" w:eastAsia="仿宋_GB2312" w:cs="仿宋_GB2312"/>
        </w:rPr>
      </w:pPr>
      <w:r>
        <w:rPr>
          <w:rFonts w:hint="eastAsia" w:ascii="仿宋_GB2312" w:hAnsi="仿宋_GB2312" w:eastAsia="仿宋_GB2312" w:cs="仿宋_GB2312"/>
          <w:lang w:eastAsia="zh-CN"/>
        </w:rPr>
        <w:t>木垒</w:t>
      </w:r>
      <w:r>
        <w:rPr>
          <w:rFonts w:hint="eastAsia" w:ascii="仿宋_GB2312" w:hAnsi="仿宋_GB2312" w:eastAsia="仿宋_GB2312" w:cs="仿宋_GB2312"/>
        </w:rPr>
        <w:t>县财政局</w:t>
      </w:r>
    </w:p>
    <w:p>
      <w:pPr>
        <w:pStyle w:val="2"/>
        <w:ind w:left="0" w:leftChars="0" w:firstLine="4320" w:firstLineChars="900"/>
        <w:jc w:val="both"/>
        <w:rPr>
          <w:rFonts w:hint="eastAsia" w:ascii="仿宋_GB2312" w:hAnsi="仿宋_GB2312" w:eastAsia="仿宋_GB2312" w:cs="仿宋_GB2312"/>
          <w:sz w:val="48"/>
        </w:rPr>
      </w:pPr>
      <w:r>
        <w:rPr>
          <w:rFonts w:hint="eastAsia" w:ascii="仿宋_GB2312" w:hAnsi="仿宋_GB2312" w:eastAsia="仿宋_GB2312" w:cs="仿宋_GB2312"/>
          <w:sz w:val="48"/>
        </w:rPr>
        <w:t>二〇</w:t>
      </w:r>
      <w:r>
        <w:rPr>
          <w:rFonts w:hint="eastAsia" w:ascii="仿宋_GB2312" w:hAnsi="仿宋_GB2312" w:eastAsia="仿宋_GB2312" w:cs="仿宋_GB2312"/>
          <w:sz w:val="48"/>
          <w:lang w:eastAsia="zh-CN"/>
        </w:rPr>
        <w:t>二二</w:t>
      </w:r>
      <w:r>
        <w:rPr>
          <w:rFonts w:hint="eastAsia" w:ascii="仿宋_GB2312" w:hAnsi="仿宋_GB2312" w:eastAsia="仿宋_GB2312" w:cs="仿宋_GB2312"/>
          <w:sz w:val="48"/>
        </w:rPr>
        <w:t>年财政总决算编报分析</w:t>
      </w:r>
    </w:p>
    <w:p>
      <w:pPr>
        <w:pStyle w:val="4"/>
        <w:spacing w:line="364" w:lineRule="auto"/>
        <w:ind w:right="230" w:firstLine="640"/>
        <w:jc w:val="both"/>
        <w:rPr>
          <w:rFonts w:hint="eastAsia" w:ascii="仿宋_GB2312" w:hAnsi="仿宋_GB2312" w:eastAsia="仿宋_GB2312" w:cs="仿宋_GB2312"/>
          <w:spacing w:val="-11"/>
          <w:sz w:val="32"/>
          <w:szCs w:val="32"/>
          <w:lang w:eastAsia="zh-CN"/>
        </w:rPr>
      </w:pPr>
      <w:r>
        <w:rPr>
          <w:rFonts w:hint="eastAsia" w:ascii="仿宋_GB2312" w:hAnsi="仿宋_GB2312" w:eastAsia="仿宋_GB2312" w:cs="仿宋_GB2312"/>
          <w:spacing w:val="-11"/>
          <w:sz w:val="32"/>
          <w:szCs w:val="32"/>
          <w:lang w:eastAsia="zh-CN"/>
        </w:rPr>
        <w:t>昌吉州财政局：</w:t>
      </w:r>
    </w:p>
    <w:p>
      <w:pPr>
        <w:pStyle w:val="4"/>
        <w:spacing w:line="364" w:lineRule="auto"/>
        <w:ind w:right="230"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pacing w:val="-11"/>
          <w:sz w:val="32"/>
          <w:szCs w:val="32"/>
        </w:rPr>
        <w:t xml:space="preserve">年我县以习近平新时代中国特色社会主义思想为指导，增强“四个意识”， </w:t>
      </w:r>
      <w:r>
        <w:rPr>
          <w:rFonts w:hint="eastAsia" w:ascii="仿宋_GB2312" w:hAnsi="仿宋_GB2312" w:eastAsia="仿宋_GB2312" w:cs="仿宋_GB2312"/>
          <w:spacing w:val="-19"/>
          <w:sz w:val="32"/>
          <w:szCs w:val="32"/>
        </w:rPr>
        <w:t>坚定“四个自信”，做到“两个维护”，贯彻新发展理念，扎实做好“六稳”工作，全面落实“六保”任务，不忘初心，砥砺前行，为全县经济社会又好又快发展发挥了积</w:t>
      </w:r>
      <w:r>
        <w:rPr>
          <w:rFonts w:hint="eastAsia" w:ascii="仿宋_GB2312" w:hAnsi="仿宋_GB2312" w:eastAsia="仿宋_GB2312" w:cs="仿宋_GB2312"/>
          <w:spacing w:val="-26"/>
          <w:sz w:val="32"/>
          <w:szCs w:val="32"/>
        </w:rPr>
        <w:t xml:space="preserve">极的推动作用。现将 </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pacing w:val="-10"/>
          <w:sz w:val="32"/>
          <w:szCs w:val="32"/>
        </w:rPr>
        <w:t>年财政收支情况说明如下：</w:t>
      </w:r>
    </w:p>
    <w:p>
      <w:pPr>
        <w:pStyle w:val="3"/>
        <w:spacing w:before="10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sz w:val="32"/>
          <w:szCs w:val="32"/>
        </w:rPr>
        <w:t>、</w:t>
      </w:r>
      <w:r>
        <w:rPr>
          <w:rFonts w:hint="eastAsia" w:ascii="仿宋_GB2312" w:hAnsi="仿宋_GB2312" w:eastAsia="仿宋_GB2312" w:cs="仿宋_GB2312"/>
          <w:sz w:val="32"/>
          <w:szCs w:val="32"/>
          <w:lang w:eastAsia="zh-CN"/>
        </w:rPr>
        <w:t>公共预算收入完成</w:t>
      </w:r>
      <w:r>
        <w:rPr>
          <w:rFonts w:hint="eastAsia" w:ascii="仿宋_GB2312" w:hAnsi="仿宋_GB2312" w:eastAsia="仿宋_GB2312" w:cs="仿宋_GB2312"/>
          <w:sz w:val="32"/>
          <w:szCs w:val="32"/>
        </w:rPr>
        <w:t>情况</w:t>
      </w:r>
    </w:p>
    <w:p>
      <w:pPr>
        <w:pStyle w:val="4"/>
        <w:spacing w:before="214" w:line="364" w:lineRule="auto"/>
        <w:ind w:right="120" w:firstLine="960" w:firstLineChars="300"/>
        <w:rPr>
          <w:rFonts w:hint="eastAsia" w:ascii="仿宋_GB2312" w:hAnsi="仿宋_GB2312" w:eastAsia="仿宋_GB2312" w:cs="仿宋_GB2312"/>
          <w:spacing w:val="-16"/>
          <w:sz w:val="32"/>
          <w:szCs w:val="32"/>
          <w:lang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pacing w:val="-14"/>
          <w:sz w:val="32"/>
          <w:szCs w:val="32"/>
        </w:rPr>
        <w:t>年，</w:t>
      </w:r>
      <w:r>
        <w:rPr>
          <w:rFonts w:hint="eastAsia" w:ascii="仿宋_GB2312" w:hAnsi="仿宋_GB2312" w:eastAsia="仿宋_GB2312" w:cs="仿宋_GB2312"/>
          <w:spacing w:val="-14"/>
          <w:sz w:val="32"/>
          <w:szCs w:val="32"/>
          <w:lang w:eastAsia="zh-CN"/>
        </w:rPr>
        <w:t>我县为了确保财政收入预期目标顺利实现，不断强化领导，明确责任，硬化措施，及时分析税源，针对性地查缺补漏，组织财税收入入库；坚持抓大不放小，大小税并重，主体税零星税并重，征管与稽查并重，努力做到了财政收入应收尽收。</w:t>
      </w:r>
      <w:r>
        <w:rPr>
          <w:rFonts w:hint="eastAsia" w:ascii="仿宋_GB2312" w:hAnsi="仿宋_GB2312" w:eastAsia="仿宋_GB2312" w:cs="仿宋_GB2312"/>
          <w:spacing w:val="-14"/>
          <w:sz w:val="32"/>
          <w:szCs w:val="32"/>
          <w:lang w:val="en-US" w:eastAsia="zh-CN"/>
        </w:rPr>
        <w:t>2022年</w:t>
      </w:r>
      <w:r>
        <w:rPr>
          <w:rFonts w:hint="eastAsia" w:ascii="仿宋_GB2312" w:hAnsi="仿宋_GB2312" w:eastAsia="仿宋_GB2312" w:cs="仿宋_GB2312"/>
          <w:spacing w:val="-14"/>
          <w:sz w:val="32"/>
          <w:szCs w:val="32"/>
        </w:rPr>
        <w:t>全县</w:t>
      </w:r>
      <w:r>
        <w:rPr>
          <w:rFonts w:hint="eastAsia" w:ascii="仿宋_GB2312" w:hAnsi="仿宋_GB2312" w:eastAsia="仿宋_GB2312" w:cs="仿宋_GB2312"/>
          <w:spacing w:val="-14"/>
          <w:sz w:val="32"/>
          <w:szCs w:val="32"/>
          <w:lang w:eastAsia="zh-CN"/>
        </w:rPr>
        <w:t>一般公共预算收入</w:t>
      </w:r>
      <w:r>
        <w:rPr>
          <w:rFonts w:hint="eastAsia" w:ascii="仿宋_GB2312" w:hAnsi="仿宋_GB2312" w:eastAsia="仿宋_GB2312" w:cs="仿宋_GB2312"/>
          <w:spacing w:val="-14"/>
          <w:sz w:val="32"/>
          <w:szCs w:val="32"/>
        </w:rPr>
        <w:t xml:space="preserve">完成 </w:t>
      </w:r>
      <w:r>
        <w:rPr>
          <w:rFonts w:hint="eastAsia" w:ascii="仿宋_GB2312" w:hAnsi="仿宋_GB2312" w:eastAsia="仿宋_GB2312" w:cs="仿宋_GB2312"/>
          <w:sz w:val="32"/>
          <w:szCs w:val="32"/>
          <w:lang w:val="en-US" w:eastAsia="zh-CN"/>
        </w:rPr>
        <w:t>51967</w:t>
      </w:r>
      <w:r>
        <w:rPr>
          <w:rFonts w:hint="eastAsia" w:ascii="仿宋_GB2312" w:hAnsi="仿宋_GB2312" w:eastAsia="仿宋_GB2312" w:cs="仿宋_GB2312"/>
          <w:spacing w:val="-16"/>
          <w:sz w:val="32"/>
          <w:szCs w:val="32"/>
        </w:rPr>
        <w:t>万元，占年初预算的</w:t>
      </w:r>
      <w:r>
        <w:rPr>
          <w:rFonts w:hint="eastAsia" w:ascii="仿宋_GB2312" w:hAnsi="仿宋_GB2312" w:eastAsia="仿宋_GB2312" w:cs="仿宋_GB2312"/>
          <w:spacing w:val="-16"/>
          <w:sz w:val="32"/>
          <w:szCs w:val="32"/>
          <w:lang w:val="en-US" w:eastAsia="zh-CN"/>
        </w:rPr>
        <w:t>100.9</w:t>
      </w:r>
      <w:r>
        <w:rPr>
          <w:rFonts w:hint="eastAsia" w:ascii="仿宋_GB2312" w:hAnsi="仿宋_GB2312" w:eastAsia="仿宋_GB2312" w:cs="仿宋_GB2312"/>
          <w:spacing w:val="-11"/>
          <w:sz w:val="32"/>
          <w:szCs w:val="32"/>
        </w:rPr>
        <w:t>％，同比</w:t>
      </w:r>
      <w:r>
        <w:rPr>
          <w:rFonts w:hint="eastAsia" w:ascii="仿宋_GB2312" w:hAnsi="仿宋_GB2312" w:eastAsia="仿宋_GB2312" w:cs="仿宋_GB2312"/>
          <w:spacing w:val="-11"/>
          <w:sz w:val="32"/>
          <w:szCs w:val="32"/>
          <w:lang w:eastAsia="zh-CN"/>
        </w:rPr>
        <w:t>上升</w:t>
      </w:r>
      <w:r>
        <w:rPr>
          <w:rFonts w:hint="eastAsia" w:ascii="仿宋_GB2312" w:hAnsi="仿宋_GB2312" w:eastAsia="仿宋_GB2312" w:cs="仿宋_GB2312"/>
          <w:spacing w:val="-11"/>
          <w:sz w:val="32"/>
          <w:szCs w:val="32"/>
          <w:lang w:val="en-US" w:eastAsia="zh-CN"/>
        </w:rPr>
        <w:t>16.4</w:t>
      </w:r>
      <w:r>
        <w:rPr>
          <w:rFonts w:hint="eastAsia" w:ascii="仿宋_GB2312" w:hAnsi="仿宋_GB2312" w:eastAsia="仿宋_GB2312" w:cs="仿宋_GB2312"/>
          <w:spacing w:val="-16"/>
          <w:sz w:val="32"/>
          <w:szCs w:val="32"/>
        </w:rPr>
        <w:t>％</w:t>
      </w:r>
      <w:r>
        <w:rPr>
          <w:rFonts w:hint="eastAsia" w:ascii="仿宋_GB2312" w:hAnsi="仿宋_GB2312" w:eastAsia="仿宋_GB2312" w:cs="仿宋_GB2312"/>
          <w:spacing w:val="-16"/>
          <w:sz w:val="32"/>
          <w:szCs w:val="32"/>
          <w:lang w:eastAsia="zh-CN"/>
        </w:rPr>
        <w:t>。</w:t>
      </w:r>
    </w:p>
    <w:p>
      <w:pPr>
        <w:pStyle w:val="3"/>
        <w:spacing w:before="10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一</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税收收入完成</w:t>
      </w:r>
      <w:r>
        <w:rPr>
          <w:rFonts w:hint="eastAsia" w:ascii="仿宋_GB2312" w:hAnsi="仿宋_GB2312" w:eastAsia="仿宋_GB2312" w:cs="仿宋_GB2312"/>
          <w:b w:val="0"/>
          <w:bCs w:val="0"/>
          <w:sz w:val="32"/>
          <w:szCs w:val="32"/>
        </w:rPr>
        <w:t>情况</w:t>
      </w:r>
    </w:p>
    <w:p>
      <w:pPr>
        <w:pStyle w:val="4"/>
        <w:spacing w:before="214" w:line="364" w:lineRule="auto"/>
        <w:ind w:right="120" w:firstLine="864" w:firstLineChars="300"/>
        <w:rPr>
          <w:rFonts w:hint="eastAsia" w:ascii="仿宋_GB2312" w:hAnsi="仿宋_GB2312" w:eastAsia="仿宋_GB2312" w:cs="仿宋_GB2312"/>
          <w:spacing w:val="-15"/>
          <w:sz w:val="32"/>
          <w:szCs w:val="32"/>
          <w:highlight w:val="none"/>
          <w:lang w:val="en-US" w:eastAsia="zh-CN"/>
        </w:rPr>
      </w:pPr>
      <w:r>
        <w:rPr>
          <w:rFonts w:hint="eastAsia" w:ascii="仿宋_GB2312" w:hAnsi="仿宋_GB2312" w:eastAsia="仿宋_GB2312" w:cs="仿宋_GB2312"/>
          <w:spacing w:val="-16"/>
          <w:sz w:val="32"/>
          <w:szCs w:val="32"/>
          <w:lang w:val="en-US" w:eastAsia="zh-CN"/>
        </w:rPr>
        <w:t>2022年木垒县</w:t>
      </w:r>
      <w:r>
        <w:rPr>
          <w:rFonts w:hint="eastAsia" w:ascii="仿宋_GB2312" w:hAnsi="仿宋_GB2312" w:eastAsia="仿宋_GB2312" w:cs="仿宋_GB2312"/>
          <w:spacing w:val="-7"/>
          <w:sz w:val="32"/>
          <w:szCs w:val="32"/>
        </w:rPr>
        <w:t>税收收入完成</w:t>
      </w:r>
      <w:r>
        <w:rPr>
          <w:rFonts w:hint="eastAsia" w:ascii="仿宋_GB2312" w:hAnsi="仿宋_GB2312" w:eastAsia="仿宋_GB2312" w:cs="仿宋_GB2312"/>
          <w:color w:val="000000" w:themeColor="text1"/>
          <w:spacing w:val="-7"/>
          <w:sz w:val="32"/>
          <w:szCs w:val="32"/>
          <w:lang w:val="en-US" w:eastAsia="zh-CN"/>
          <w14:textFill>
            <w14:solidFill>
              <w14:schemeClr w14:val="tx1"/>
            </w14:solidFill>
          </w14:textFill>
        </w:rPr>
        <w:t>36548</w:t>
      </w:r>
      <w:r>
        <w:rPr>
          <w:rFonts w:hint="eastAsia" w:ascii="仿宋_GB2312" w:hAnsi="仿宋_GB2312" w:eastAsia="仿宋_GB2312" w:cs="仿宋_GB2312"/>
          <w:spacing w:val="-21"/>
          <w:sz w:val="32"/>
          <w:szCs w:val="32"/>
        </w:rPr>
        <w:t xml:space="preserve"> 万元，占年初预算的</w:t>
      </w:r>
      <w:r>
        <w:rPr>
          <w:rFonts w:hint="eastAsia" w:ascii="仿宋_GB2312" w:hAnsi="仿宋_GB2312" w:eastAsia="仿宋_GB2312" w:cs="仿宋_GB2312"/>
          <w:spacing w:val="-21"/>
          <w:sz w:val="32"/>
          <w:szCs w:val="32"/>
          <w:lang w:val="en-US" w:eastAsia="zh-CN"/>
        </w:rPr>
        <w:t>90.8</w:t>
      </w:r>
      <w:r>
        <w:rPr>
          <w:rFonts w:hint="eastAsia" w:ascii="仿宋_GB2312" w:hAnsi="仿宋_GB2312" w:eastAsia="仿宋_GB2312" w:cs="仿宋_GB2312"/>
          <w:spacing w:val="-15"/>
          <w:sz w:val="32"/>
          <w:szCs w:val="32"/>
        </w:rPr>
        <w:t>％，同比</w:t>
      </w:r>
      <w:r>
        <w:rPr>
          <w:rFonts w:hint="eastAsia" w:ascii="仿宋_GB2312" w:hAnsi="仿宋_GB2312" w:eastAsia="仿宋_GB2312" w:cs="仿宋_GB2312"/>
          <w:spacing w:val="-15"/>
          <w:sz w:val="32"/>
          <w:szCs w:val="32"/>
          <w:lang w:eastAsia="zh-CN"/>
        </w:rPr>
        <w:t>增长</w:t>
      </w:r>
      <w:r>
        <w:rPr>
          <w:rFonts w:hint="eastAsia" w:ascii="仿宋_GB2312" w:hAnsi="仿宋_GB2312" w:eastAsia="仿宋_GB2312" w:cs="仿宋_GB2312"/>
          <w:spacing w:val="-15"/>
          <w:sz w:val="32"/>
          <w:szCs w:val="32"/>
          <w:lang w:val="en-US" w:eastAsia="zh-CN"/>
        </w:rPr>
        <w:t>42</w:t>
      </w:r>
      <w:r>
        <w:rPr>
          <w:rFonts w:hint="eastAsia" w:ascii="仿宋_GB2312" w:hAnsi="仿宋_GB2312" w:eastAsia="仿宋_GB2312" w:cs="仿宋_GB2312"/>
          <w:spacing w:val="-4"/>
          <w:sz w:val="32"/>
          <w:szCs w:val="32"/>
        </w:rPr>
        <w:t>％，</w:t>
      </w:r>
      <w:r>
        <w:rPr>
          <w:rFonts w:hint="eastAsia" w:ascii="仿宋_GB2312" w:hAnsi="仿宋_GB2312" w:eastAsia="仿宋_GB2312" w:cs="仿宋_GB2312"/>
          <w:spacing w:val="-4"/>
          <w:sz w:val="32"/>
          <w:szCs w:val="32"/>
          <w:lang w:eastAsia="zh-CN"/>
        </w:rPr>
        <w:t>增</w:t>
      </w:r>
      <w:r>
        <w:rPr>
          <w:rFonts w:hint="eastAsia" w:ascii="仿宋_GB2312" w:hAnsi="仿宋_GB2312" w:eastAsia="仿宋_GB2312" w:cs="仿宋_GB2312"/>
          <w:spacing w:val="-4"/>
          <w:sz w:val="32"/>
          <w:szCs w:val="32"/>
        </w:rPr>
        <w:t>收</w:t>
      </w:r>
      <w:r>
        <w:rPr>
          <w:rFonts w:hint="eastAsia" w:ascii="仿宋_GB2312" w:hAnsi="仿宋_GB2312" w:eastAsia="仿宋_GB2312" w:cs="仿宋_GB2312"/>
          <w:sz w:val="32"/>
          <w:szCs w:val="32"/>
          <w:lang w:val="en-US" w:eastAsia="zh-CN"/>
        </w:rPr>
        <w:t>10803</w:t>
      </w:r>
      <w:r>
        <w:rPr>
          <w:rFonts w:hint="eastAsia" w:ascii="仿宋_GB2312" w:hAnsi="仿宋_GB2312" w:eastAsia="仿宋_GB2312" w:cs="仿宋_GB2312"/>
          <w:spacing w:val="-15"/>
          <w:sz w:val="32"/>
          <w:szCs w:val="32"/>
        </w:rPr>
        <w:t>万元；</w:t>
      </w:r>
      <w:r>
        <w:rPr>
          <w:rFonts w:hint="eastAsia" w:ascii="仿宋_GB2312" w:hAnsi="仿宋_GB2312" w:eastAsia="仿宋_GB2312" w:cs="仿宋_GB2312"/>
          <w:spacing w:val="-15"/>
          <w:sz w:val="32"/>
          <w:szCs w:val="32"/>
          <w:lang w:eastAsia="zh-CN"/>
        </w:rPr>
        <w:t>其中：增值税完成</w:t>
      </w:r>
      <w:r>
        <w:rPr>
          <w:rFonts w:hint="eastAsia" w:ascii="仿宋_GB2312" w:hAnsi="仿宋_GB2312" w:eastAsia="仿宋_GB2312" w:cs="仿宋_GB2312"/>
          <w:spacing w:val="-15"/>
          <w:sz w:val="32"/>
          <w:szCs w:val="32"/>
          <w:lang w:val="en-US" w:eastAsia="zh-CN"/>
        </w:rPr>
        <w:t>4750万元（包含改征增值税），同比下降15.8%，减收889万元；企业所得税完成3175万元，同比下降9.1%，减收318万元：个人所得税完成778万元，同比增长17.9%，增收118万元；资源税完成69万元，同比增长187.5%，增收45万元；城市维护建设税完成589万元，同比下降26.7%，减收215万元；房产税完成757万元，同比下降10.9%，减收93万元；印花税完成917万元，同比增长60.9%，增收347万元；城镇土地使用税9352万元，同比增长531%，增收7870万元；土地增值税完成59万元，同比下降96.6%，减收1700万元；</w:t>
      </w:r>
      <w:r>
        <w:rPr>
          <w:rFonts w:hint="eastAsia" w:ascii="仿宋_GB2312" w:hAnsi="仿宋_GB2312" w:eastAsia="仿宋_GB2312" w:cs="仿宋_GB2312"/>
          <w:spacing w:val="-15"/>
          <w:sz w:val="32"/>
          <w:szCs w:val="32"/>
          <w:highlight w:val="none"/>
          <w:lang w:val="en-US" w:eastAsia="zh-CN"/>
        </w:rPr>
        <w:t>车船税完成513万元，同比</w:t>
      </w:r>
      <w:r>
        <w:rPr>
          <w:rFonts w:hint="eastAsia" w:ascii="仿宋_GB2312" w:hAnsi="仿宋_GB2312" w:eastAsia="仿宋_GB2312" w:cs="仿宋_GB2312"/>
          <w:spacing w:val="-15"/>
          <w:sz w:val="32"/>
          <w:szCs w:val="32"/>
          <w:lang w:val="en-US" w:eastAsia="zh-CN"/>
        </w:rPr>
        <w:t>下降</w:t>
      </w:r>
      <w:r>
        <w:rPr>
          <w:rFonts w:hint="eastAsia" w:ascii="仿宋_GB2312" w:hAnsi="仿宋_GB2312" w:eastAsia="仿宋_GB2312" w:cs="仿宋_GB2312"/>
          <w:spacing w:val="-15"/>
          <w:sz w:val="32"/>
          <w:szCs w:val="32"/>
          <w:highlight w:val="none"/>
          <w:lang w:val="en-US" w:eastAsia="zh-CN"/>
        </w:rPr>
        <w:t>2.5%，减收13万元；耕地占用税12116万元，同比</w:t>
      </w:r>
      <w:r>
        <w:rPr>
          <w:rFonts w:hint="eastAsia" w:ascii="仿宋_GB2312" w:hAnsi="仿宋_GB2312" w:eastAsia="仿宋_GB2312" w:cs="仿宋_GB2312"/>
          <w:spacing w:val="-15"/>
          <w:sz w:val="32"/>
          <w:szCs w:val="32"/>
          <w:lang w:val="en-US" w:eastAsia="zh-CN"/>
        </w:rPr>
        <w:t>增长</w:t>
      </w:r>
      <w:r>
        <w:rPr>
          <w:rFonts w:hint="eastAsia" w:ascii="仿宋_GB2312" w:hAnsi="仿宋_GB2312" w:eastAsia="仿宋_GB2312" w:cs="仿宋_GB2312"/>
          <w:spacing w:val="-15"/>
          <w:sz w:val="32"/>
          <w:szCs w:val="32"/>
          <w:highlight w:val="none"/>
          <w:lang w:val="en-US" w:eastAsia="zh-CN"/>
        </w:rPr>
        <w:t>33.6%，</w:t>
      </w:r>
      <w:r>
        <w:rPr>
          <w:rFonts w:hint="eastAsia" w:ascii="仿宋_GB2312" w:hAnsi="仿宋_GB2312" w:eastAsia="仿宋_GB2312" w:cs="仿宋_GB2312"/>
          <w:spacing w:val="-15"/>
          <w:sz w:val="32"/>
          <w:szCs w:val="32"/>
          <w:lang w:val="en-US" w:eastAsia="zh-CN"/>
        </w:rPr>
        <w:t>增</w:t>
      </w:r>
      <w:r>
        <w:rPr>
          <w:rFonts w:hint="eastAsia" w:ascii="仿宋_GB2312" w:hAnsi="仿宋_GB2312" w:eastAsia="仿宋_GB2312" w:cs="仿宋_GB2312"/>
          <w:spacing w:val="-15"/>
          <w:sz w:val="32"/>
          <w:szCs w:val="32"/>
          <w:highlight w:val="none"/>
          <w:lang w:val="en-US" w:eastAsia="zh-CN"/>
        </w:rPr>
        <w:t>收3047万元；契税完成3473万元，同比增长318.9%，增收2644万元；其他税收收入完成0万元，同比下降100%，减收40万元。</w:t>
      </w:r>
    </w:p>
    <w:p>
      <w:pPr>
        <w:pStyle w:val="3"/>
        <w:spacing w:before="10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二</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非税收入完成</w:t>
      </w:r>
      <w:r>
        <w:rPr>
          <w:rFonts w:hint="eastAsia" w:ascii="仿宋_GB2312" w:hAnsi="仿宋_GB2312" w:eastAsia="仿宋_GB2312" w:cs="仿宋_GB2312"/>
          <w:b w:val="0"/>
          <w:bCs w:val="0"/>
          <w:sz w:val="32"/>
          <w:szCs w:val="32"/>
        </w:rPr>
        <w:t>情况</w:t>
      </w:r>
    </w:p>
    <w:p>
      <w:pPr>
        <w:pStyle w:val="4"/>
        <w:spacing w:before="214" w:line="364" w:lineRule="auto"/>
        <w:ind w:right="120" w:firstLine="870" w:firstLineChars="300"/>
        <w:rPr>
          <w:rFonts w:hint="eastAsia" w:ascii="仿宋_GB2312" w:hAnsi="仿宋_GB2312" w:eastAsia="仿宋_GB2312" w:cs="仿宋_GB2312"/>
          <w:spacing w:val="-21"/>
          <w:sz w:val="32"/>
          <w:szCs w:val="32"/>
          <w:highlight w:val="none"/>
        </w:rPr>
      </w:pPr>
      <w:r>
        <w:rPr>
          <w:rFonts w:hint="eastAsia" w:ascii="仿宋_GB2312" w:hAnsi="仿宋_GB2312" w:eastAsia="仿宋_GB2312" w:cs="仿宋_GB2312"/>
          <w:spacing w:val="-15"/>
          <w:sz w:val="32"/>
          <w:szCs w:val="32"/>
        </w:rPr>
        <w:t>非税收入完成</w:t>
      </w:r>
      <w:r>
        <w:rPr>
          <w:rFonts w:hint="eastAsia" w:ascii="仿宋_GB2312" w:hAnsi="仿宋_GB2312" w:eastAsia="仿宋_GB2312" w:cs="仿宋_GB2312"/>
          <w:spacing w:val="-15"/>
          <w:sz w:val="32"/>
          <w:szCs w:val="32"/>
          <w:lang w:val="en-US" w:eastAsia="zh-CN"/>
        </w:rPr>
        <w:t>15419</w:t>
      </w:r>
      <w:r>
        <w:rPr>
          <w:rFonts w:hint="eastAsia" w:ascii="仿宋_GB2312" w:hAnsi="仿宋_GB2312" w:eastAsia="仿宋_GB2312" w:cs="仿宋_GB2312"/>
          <w:spacing w:val="-15"/>
          <w:sz w:val="32"/>
          <w:szCs w:val="32"/>
        </w:rPr>
        <w:t>万元，占年初预算的</w:t>
      </w:r>
      <w:r>
        <w:rPr>
          <w:rFonts w:hint="eastAsia" w:ascii="仿宋_GB2312" w:hAnsi="仿宋_GB2312" w:eastAsia="仿宋_GB2312" w:cs="仿宋_GB2312"/>
          <w:spacing w:val="-15"/>
          <w:sz w:val="32"/>
          <w:szCs w:val="32"/>
          <w:lang w:val="en-US" w:eastAsia="zh-CN"/>
        </w:rPr>
        <w:t>137.1</w:t>
      </w:r>
      <w:r>
        <w:rPr>
          <w:rFonts w:hint="eastAsia" w:ascii="仿宋_GB2312" w:hAnsi="仿宋_GB2312" w:eastAsia="仿宋_GB2312" w:cs="仿宋_GB2312"/>
          <w:spacing w:val="-11"/>
          <w:sz w:val="32"/>
          <w:szCs w:val="32"/>
        </w:rPr>
        <w:t>％，同比</w:t>
      </w:r>
      <w:r>
        <w:rPr>
          <w:rFonts w:hint="eastAsia" w:ascii="仿宋_GB2312" w:hAnsi="仿宋_GB2312" w:eastAsia="仿宋_GB2312" w:cs="仿宋_GB2312"/>
          <w:spacing w:val="-15"/>
          <w:sz w:val="32"/>
          <w:szCs w:val="32"/>
          <w:lang w:val="en-US" w:eastAsia="zh-CN"/>
        </w:rPr>
        <w:t>下降18.4</w:t>
      </w:r>
      <w:r>
        <w:rPr>
          <w:rFonts w:hint="eastAsia" w:ascii="仿宋_GB2312" w:hAnsi="仿宋_GB2312" w:eastAsia="仿宋_GB2312" w:cs="仿宋_GB2312"/>
          <w:spacing w:val="-16"/>
          <w:sz w:val="32"/>
          <w:szCs w:val="32"/>
        </w:rPr>
        <w:t>％,</w:t>
      </w:r>
      <w:r>
        <w:rPr>
          <w:rFonts w:hint="eastAsia" w:ascii="仿宋_GB2312" w:hAnsi="仿宋_GB2312" w:eastAsia="仿宋_GB2312" w:cs="仿宋_GB2312"/>
          <w:spacing w:val="-15"/>
          <w:sz w:val="32"/>
          <w:szCs w:val="32"/>
          <w:highlight w:val="none"/>
          <w:lang w:val="en-US" w:eastAsia="zh-CN"/>
        </w:rPr>
        <w:t>减</w:t>
      </w:r>
      <w:r>
        <w:rPr>
          <w:rFonts w:hint="eastAsia" w:ascii="仿宋_GB2312" w:hAnsi="仿宋_GB2312" w:eastAsia="仿宋_GB2312" w:cs="仿宋_GB2312"/>
          <w:spacing w:val="-16"/>
          <w:sz w:val="32"/>
          <w:szCs w:val="32"/>
        </w:rPr>
        <w:t xml:space="preserve">收 </w:t>
      </w:r>
      <w:r>
        <w:rPr>
          <w:rFonts w:hint="eastAsia" w:ascii="仿宋_GB2312" w:hAnsi="仿宋_GB2312" w:eastAsia="仿宋_GB2312" w:cs="仿宋_GB2312"/>
          <w:spacing w:val="-16"/>
          <w:sz w:val="32"/>
          <w:szCs w:val="32"/>
          <w:lang w:val="en-US" w:eastAsia="zh-CN"/>
        </w:rPr>
        <w:t>3469</w:t>
      </w:r>
      <w:r>
        <w:rPr>
          <w:rFonts w:hint="eastAsia" w:ascii="仿宋_GB2312" w:hAnsi="仿宋_GB2312" w:eastAsia="仿宋_GB2312" w:cs="仿宋_GB2312"/>
          <w:spacing w:val="-8"/>
          <w:sz w:val="32"/>
          <w:szCs w:val="32"/>
        </w:rPr>
        <w:t>万元；其中：专项收入完</w:t>
      </w:r>
      <w:r>
        <w:rPr>
          <w:rFonts w:hint="eastAsia" w:ascii="仿宋_GB2312" w:hAnsi="仿宋_GB2312" w:eastAsia="仿宋_GB2312" w:cs="仿宋_GB2312"/>
          <w:spacing w:val="-42"/>
          <w:sz w:val="32"/>
          <w:szCs w:val="32"/>
        </w:rPr>
        <w:t>成</w:t>
      </w:r>
      <w:r>
        <w:rPr>
          <w:rFonts w:hint="eastAsia" w:ascii="仿宋_GB2312" w:hAnsi="仿宋_GB2312" w:eastAsia="仿宋_GB2312" w:cs="仿宋_GB2312"/>
          <w:spacing w:val="-42"/>
          <w:sz w:val="32"/>
          <w:szCs w:val="32"/>
          <w:lang w:val="en-US" w:eastAsia="zh-CN"/>
        </w:rPr>
        <w:t>665</w:t>
      </w:r>
      <w:r>
        <w:rPr>
          <w:rFonts w:hint="eastAsia" w:ascii="仿宋_GB2312" w:hAnsi="仿宋_GB2312" w:eastAsia="仿宋_GB2312" w:cs="仿宋_GB2312"/>
          <w:spacing w:val="-21"/>
          <w:sz w:val="32"/>
          <w:szCs w:val="32"/>
        </w:rPr>
        <w:t xml:space="preserve">万元，占年初预算的 </w:t>
      </w:r>
      <w:r>
        <w:rPr>
          <w:rFonts w:hint="eastAsia" w:ascii="仿宋_GB2312" w:hAnsi="仿宋_GB2312" w:eastAsia="仿宋_GB2312" w:cs="仿宋_GB2312"/>
          <w:spacing w:val="-5"/>
          <w:sz w:val="32"/>
          <w:szCs w:val="32"/>
          <w:lang w:val="en-US" w:eastAsia="zh-CN"/>
        </w:rPr>
        <w:t>77.1</w:t>
      </w:r>
      <w:r>
        <w:rPr>
          <w:rFonts w:hint="eastAsia" w:ascii="仿宋_GB2312" w:hAnsi="仿宋_GB2312" w:eastAsia="仿宋_GB2312" w:cs="仿宋_GB2312"/>
          <w:spacing w:val="-15"/>
          <w:sz w:val="32"/>
          <w:szCs w:val="32"/>
        </w:rPr>
        <w:t>％，同比</w:t>
      </w:r>
      <w:r>
        <w:rPr>
          <w:rFonts w:hint="eastAsia" w:ascii="仿宋_GB2312" w:hAnsi="仿宋_GB2312" w:eastAsia="仿宋_GB2312" w:cs="仿宋_GB2312"/>
          <w:spacing w:val="-15"/>
          <w:sz w:val="32"/>
          <w:szCs w:val="32"/>
          <w:lang w:eastAsia="zh-CN"/>
        </w:rPr>
        <w:t>下降</w:t>
      </w:r>
      <w:r>
        <w:rPr>
          <w:rFonts w:hint="eastAsia" w:ascii="仿宋_GB2312" w:hAnsi="仿宋_GB2312" w:eastAsia="仿宋_GB2312" w:cs="仿宋_GB2312"/>
          <w:spacing w:val="-15"/>
          <w:sz w:val="32"/>
          <w:szCs w:val="32"/>
          <w:lang w:val="en-US" w:eastAsia="zh-CN"/>
        </w:rPr>
        <w:t>18.4</w:t>
      </w:r>
      <w:r>
        <w:rPr>
          <w:rFonts w:hint="eastAsia" w:ascii="仿宋_GB2312" w:hAnsi="仿宋_GB2312" w:eastAsia="仿宋_GB2312" w:cs="仿宋_GB2312"/>
          <w:spacing w:val="-19"/>
          <w:sz w:val="32"/>
          <w:szCs w:val="32"/>
        </w:rPr>
        <w:t>％，</w:t>
      </w:r>
      <w:r>
        <w:rPr>
          <w:rFonts w:hint="eastAsia" w:ascii="仿宋_GB2312" w:hAnsi="仿宋_GB2312" w:eastAsia="仿宋_GB2312" w:cs="仿宋_GB2312"/>
          <w:spacing w:val="-19"/>
          <w:sz w:val="32"/>
          <w:szCs w:val="32"/>
          <w:lang w:eastAsia="zh-CN"/>
        </w:rPr>
        <w:t>减</w:t>
      </w:r>
      <w:r>
        <w:rPr>
          <w:rFonts w:hint="eastAsia" w:ascii="仿宋_GB2312" w:hAnsi="仿宋_GB2312" w:eastAsia="仿宋_GB2312" w:cs="仿宋_GB2312"/>
          <w:spacing w:val="-19"/>
          <w:sz w:val="32"/>
          <w:szCs w:val="32"/>
        </w:rPr>
        <w:t xml:space="preserve">收 </w:t>
      </w:r>
      <w:r>
        <w:rPr>
          <w:rFonts w:hint="eastAsia" w:ascii="仿宋_GB2312" w:hAnsi="仿宋_GB2312" w:eastAsia="仿宋_GB2312" w:cs="仿宋_GB2312"/>
          <w:sz w:val="32"/>
          <w:szCs w:val="32"/>
          <w:lang w:val="en-US" w:eastAsia="zh-CN"/>
        </w:rPr>
        <w:t>150</w:t>
      </w:r>
      <w:r>
        <w:rPr>
          <w:rFonts w:hint="eastAsia" w:ascii="仿宋_GB2312" w:hAnsi="仿宋_GB2312" w:eastAsia="仿宋_GB2312" w:cs="仿宋_GB2312"/>
          <w:spacing w:val="-17"/>
          <w:sz w:val="32"/>
          <w:szCs w:val="32"/>
        </w:rPr>
        <w:t xml:space="preserve"> 万元；行政性收费收入完成</w:t>
      </w:r>
      <w:r>
        <w:rPr>
          <w:rFonts w:hint="eastAsia" w:ascii="仿宋_GB2312" w:hAnsi="仿宋_GB2312" w:eastAsia="仿宋_GB2312" w:cs="仿宋_GB2312"/>
          <w:spacing w:val="-17"/>
          <w:sz w:val="32"/>
          <w:szCs w:val="32"/>
          <w:lang w:val="en-US" w:eastAsia="zh-CN"/>
        </w:rPr>
        <w:t>850</w:t>
      </w:r>
      <w:r>
        <w:rPr>
          <w:rFonts w:hint="eastAsia" w:ascii="仿宋_GB2312" w:hAnsi="仿宋_GB2312" w:eastAsia="仿宋_GB2312" w:cs="仿宋_GB2312"/>
          <w:spacing w:val="-13"/>
          <w:sz w:val="32"/>
          <w:szCs w:val="32"/>
        </w:rPr>
        <w:t>万元，占年初预算的</w:t>
      </w:r>
      <w:r>
        <w:rPr>
          <w:rFonts w:hint="eastAsia" w:ascii="仿宋_GB2312" w:hAnsi="仿宋_GB2312" w:eastAsia="仿宋_GB2312" w:cs="仿宋_GB2312"/>
          <w:spacing w:val="-13"/>
          <w:sz w:val="32"/>
          <w:szCs w:val="32"/>
          <w:lang w:val="en-US" w:eastAsia="zh-CN"/>
        </w:rPr>
        <w:t>11.5</w:t>
      </w:r>
      <w:r>
        <w:rPr>
          <w:rFonts w:hint="eastAsia" w:ascii="仿宋_GB2312" w:hAnsi="仿宋_GB2312" w:eastAsia="仿宋_GB2312" w:cs="仿宋_GB2312"/>
          <w:spacing w:val="-17"/>
          <w:sz w:val="32"/>
          <w:szCs w:val="32"/>
        </w:rPr>
        <w:t>％，同比</w:t>
      </w:r>
      <w:r>
        <w:rPr>
          <w:rFonts w:hint="eastAsia" w:ascii="仿宋_GB2312" w:hAnsi="仿宋_GB2312" w:eastAsia="仿宋_GB2312" w:cs="仿宋_GB2312"/>
          <w:spacing w:val="-15"/>
          <w:sz w:val="32"/>
          <w:szCs w:val="32"/>
          <w:lang w:eastAsia="zh-CN"/>
        </w:rPr>
        <w:t>下降</w:t>
      </w:r>
      <w:r>
        <w:rPr>
          <w:rFonts w:hint="eastAsia" w:ascii="仿宋_GB2312" w:hAnsi="仿宋_GB2312" w:eastAsia="仿宋_GB2312" w:cs="仿宋_GB2312"/>
          <w:spacing w:val="-15"/>
          <w:sz w:val="32"/>
          <w:szCs w:val="32"/>
          <w:lang w:val="en-US" w:eastAsia="zh-CN"/>
        </w:rPr>
        <w:t>88.1</w:t>
      </w:r>
      <w:r>
        <w:rPr>
          <w:rFonts w:hint="eastAsia" w:ascii="仿宋_GB2312" w:hAnsi="仿宋_GB2312" w:eastAsia="仿宋_GB2312" w:cs="仿宋_GB2312"/>
          <w:spacing w:val="-15"/>
          <w:sz w:val="32"/>
          <w:szCs w:val="32"/>
        </w:rPr>
        <w:t>％，</w:t>
      </w:r>
      <w:r>
        <w:rPr>
          <w:rFonts w:hint="eastAsia" w:ascii="仿宋_GB2312" w:hAnsi="仿宋_GB2312" w:eastAsia="仿宋_GB2312" w:cs="仿宋_GB2312"/>
          <w:spacing w:val="-19"/>
          <w:sz w:val="32"/>
          <w:szCs w:val="32"/>
          <w:lang w:eastAsia="zh-CN"/>
        </w:rPr>
        <w:t>减</w:t>
      </w:r>
      <w:r>
        <w:rPr>
          <w:rFonts w:hint="eastAsia" w:ascii="仿宋_GB2312" w:hAnsi="仿宋_GB2312" w:eastAsia="仿宋_GB2312" w:cs="仿宋_GB2312"/>
          <w:spacing w:val="-19"/>
          <w:sz w:val="32"/>
          <w:szCs w:val="32"/>
        </w:rPr>
        <w:t>收</w:t>
      </w:r>
      <w:r>
        <w:rPr>
          <w:rFonts w:hint="eastAsia" w:ascii="仿宋_GB2312" w:hAnsi="仿宋_GB2312" w:eastAsia="仿宋_GB2312" w:cs="仿宋_GB2312"/>
          <w:spacing w:val="-19"/>
          <w:sz w:val="32"/>
          <w:szCs w:val="32"/>
          <w:lang w:val="en-US" w:eastAsia="zh-CN"/>
        </w:rPr>
        <w:t>6274</w:t>
      </w:r>
      <w:r>
        <w:rPr>
          <w:rFonts w:hint="eastAsia" w:ascii="仿宋_GB2312" w:hAnsi="仿宋_GB2312" w:eastAsia="仿宋_GB2312" w:cs="仿宋_GB2312"/>
          <w:spacing w:val="-14"/>
          <w:sz w:val="32"/>
          <w:szCs w:val="32"/>
        </w:rPr>
        <w:t>万元；</w:t>
      </w:r>
      <w:r>
        <w:rPr>
          <w:rFonts w:hint="eastAsia" w:ascii="仿宋_GB2312" w:hAnsi="仿宋_GB2312" w:eastAsia="仿宋_GB2312" w:cs="仿宋_GB2312"/>
          <w:spacing w:val="-14"/>
          <w:sz w:val="32"/>
          <w:szCs w:val="32"/>
          <w:highlight w:val="none"/>
        </w:rPr>
        <w:t xml:space="preserve">罚没收入完成 </w:t>
      </w:r>
      <w:r>
        <w:rPr>
          <w:rFonts w:hint="eastAsia" w:ascii="仿宋_GB2312" w:hAnsi="仿宋_GB2312" w:eastAsia="仿宋_GB2312" w:cs="仿宋_GB2312"/>
          <w:sz w:val="32"/>
          <w:szCs w:val="32"/>
          <w:highlight w:val="none"/>
          <w:lang w:val="en-US" w:eastAsia="zh-CN"/>
        </w:rPr>
        <w:t>242</w:t>
      </w:r>
      <w:r>
        <w:rPr>
          <w:rFonts w:hint="eastAsia" w:ascii="仿宋_GB2312" w:hAnsi="仿宋_GB2312" w:eastAsia="仿宋_GB2312" w:cs="仿宋_GB2312"/>
          <w:spacing w:val="-14"/>
          <w:sz w:val="32"/>
          <w:szCs w:val="32"/>
          <w:highlight w:val="none"/>
        </w:rPr>
        <w:t xml:space="preserve">万元，占年初预算的 </w:t>
      </w:r>
      <w:r>
        <w:rPr>
          <w:rFonts w:hint="eastAsia" w:ascii="仿宋_GB2312" w:hAnsi="仿宋_GB2312" w:eastAsia="仿宋_GB2312" w:cs="仿宋_GB2312"/>
          <w:sz w:val="32"/>
          <w:szCs w:val="32"/>
          <w:highlight w:val="none"/>
          <w:lang w:val="en-US" w:eastAsia="zh-CN"/>
        </w:rPr>
        <w:t>9.7</w:t>
      </w:r>
      <w:r>
        <w:rPr>
          <w:rFonts w:hint="eastAsia" w:ascii="仿宋_GB2312" w:hAnsi="仿宋_GB2312" w:eastAsia="仿宋_GB2312" w:cs="仿宋_GB2312"/>
          <w:spacing w:val="-11"/>
          <w:sz w:val="32"/>
          <w:szCs w:val="32"/>
          <w:highlight w:val="none"/>
        </w:rPr>
        <w:t>％，同比</w:t>
      </w:r>
      <w:r>
        <w:rPr>
          <w:rFonts w:hint="eastAsia" w:ascii="仿宋_GB2312" w:hAnsi="仿宋_GB2312" w:eastAsia="仿宋_GB2312" w:cs="仿宋_GB2312"/>
          <w:spacing w:val="-11"/>
          <w:sz w:val="32"/>
          <w:szCs w:val="32"/>
          <w:highlight w:val="none"/>
          <w:lang w:eastAsia="zh-CN"/>
        </w:rPr>
        <w:t>下降</w:t>
      </w:r>
      <w:r>
        <w:rPr>
          <w:rFonts w:hint="eastAsia" w:ascii="仿宋_GB2312" w:hAnsi="仿宋_GB2312" w:eastAsia="仿宋_GB2312" w:cs="仿宋_GB2312"/>
          <w:spacing w:val="-11"/>
          <w:sz w:val="32"/>
          <w:szCs w:val="32"/>
          <w:highlight w:val="none"/>
          <w:lang w:val="en-US" w:eastAsia="zh-CN"/>
        </w:rPr>
        <w:t>82.6</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减</w:t>
      </w:r>
      <w:r>
        <w:rPr>
          <w:rFonts w:hint="eastAsia" w:ascii="仿宋_GB2312" w:hAnsi="仿宋_GB2312" w:eastAsia="仿宋_GB2312" w:cs="仿宋_GB2312"/>
          <w:sz w:val="32"/>
          <w:szCs w:val="32"/>
          <w:highlight w:val="none"/>
        </w:rPr>
        <w:t>收</w:t>
      </w:r>
      <w:r>
        <w:rPr>
          <w:rFonts w:hint="eastAsia" w:ascii="仿宋_GB2312" w:hAnsi="仿宋_GB2312" w:eastAsia="仿宋_GB2312" w:cs="仿宋_GB2312"/>
          <w:sz w:val="32"/>
          <w:szCs w:val="32"/>
          <w:highlight w:val="none"/>
          <w:lang w:val="en-US" w:eastAsia="zh-CN"/>
        </w:rPr>
        <w:t>1148</w:t>
      </w:r>
      <w:r>
        <w:rPr>
          <w:rFonts w:hint="eastAsia" w:ascii="仿宋_GB2312" w:hAnsi="仿宋_GB2312" w:eastAsia="仿宋_GB2312" w:cs="仿宋_GB2312"/>
          <w:spacing w:val="-16"/>
          <w:sz w:val="32"/>
          <w:szCs w:val="32"/>
          <w:highlight w:val="none"/>
        </w:rPr>
        <w:t xml:space="preserve">万元；国有资源有偿使用收入 </w:t>
      </w:r>
      <w:r>
        <w:rPr>
          <w:rFonts w:hint="eastAsia" w:ascii="仿宋_GB2312" w:hAnsi="仿宋_GB2312" w:eastAsia="仿宋_GB2312" w:cs="仿宋_GB2312"/>
          <w:spacing w:val="-16"/>
          <w:sz w:val="32"/>
          <w:szCs w:val="32"/>
          <w:highlight w:val="none"/>
          <w:lang w:val="en-US" w:eastAsia="zh-CN"/>
        </w:rPr>
        <w:t>13233</w:t>
      </w:r>
      <w:r>
        <w:rPr>
          <w:rFonts w:hint="eastAsia" w:ascii="仿宋_GB2312" w:hAnsi="仿宋_GB2312" w:eastAsia="仿宋_GB2312" w:cs="仿宋_GB2312"/>
          <w:spacing w:val="-19"/>
          <w:sz w:val="32"/>
          <w:szCs w:val="32"/>
          <w:highlight w:val="none"/>
        </w:rPr>
        <w:t>万元，占年初预算的</w:t>
      </w:r>
      <w:r>
        <w:rPr>
          <w:rFonts w:hint="eastAsia" w:ascii="仿宋_GB2312" w:hAnsi="仿宋_GB2312" w:eastAsia="仿宋_GB2312" w:cs="仿宋_GB2312"/>
          <w:spacing w:val="-19"/>
          <w:sz w:val="32"/>
          <w:szCs w:val="32"/>
          <w:highlight w:val="none"/>
          <w:lang w:val="en-US" w:eastAsia="zh-CN"/>
        </w:rPr>
        <w:t>6616.5</w:t>
      </w:r>
      <w:r>
        <w:rPr>
          <w:rFonts w:hint="eastAsia" w:ascii="仿宋_GB2312" w:hAnsi="仿宋_GB2312" w:eastAsia="仿宋_GB2312" w:cs="仿宋_GB2312"/>
          <w:spacing w:val="-13"/>
          <w:sz w:val="32"/>
          <w:szCs w:val="32"/>
          <w:highlight w:val="none"/>
        </w:rPr>
        <w:t>%，同比</w:t>
      </w:r>
      <w:r>
        <w:rPr>
          <w:rFonts w:hint="eastAsia" w:ascii="仿宋_GB2312" w:hAnsi="仿宋_GB2312" w:eastAsia="仿宋_GB2312" w:cs="仿宋_GB2312"/>
          <w:spacing w:val="-13"/>
          <w:sz w:val="32"/>
          <w:szCs w:val="32"/>
          <w:highlight w:val="none"/>
          <w:lang w:eastAsia="zh-CN"/>
        </w:rPr>
        <w:t>增长</w:t>
      </w:r>
      <w:r>
        <w:rPr>
          <w:rFonts w:hint="eastAsia" w:ascii="仿宋_GB2312" w:hAnsi="仿宋_GB2312" w:eastAsia="仿宋_GB2312" w:cs="仿宋_GB2312"/>
          <w:spacing w:val="-13"/>
          <w:sz w:val="32"/>
          <w:szCs w:val="32"/>
          <w:highlight w:val="none"/>
          <w:lang w:val="en-US" w:eastAsia="zh-CN"/>
        </w:rPr>
        <w:t>44.4</w:t>
      </w:r>
      <w:r>
        <w:rPr>
          <w:rFonts w:hint="eastAsia" w:ascii="仿宋_GB2312" w:hAnsi="仿宋_GB2312" w:eastAsia="仿宋_GB2312" w:cs="仿宋_GB2312"/>
          <w:spacing w:val="-17"/>
          <w:sz w:val="32"/>
          <w:szCs w:val="32"/>
          <w:highlight w:val="none"/>
        </w:rPr>
        <w:t>%，</w:t>
      </w:r>
      <w:r>
        <w:rPr>
          <w:rFonts w:hint="eastAsia" w:ascii="仿宋_GB2312" w:hAnsi="仿宋_GB2312" w:eastAsia="仿宋_GB2312" w:cs="仿宋_GB2312"/>
          <w:spacing w:val="-17"/>
          <w:sz w:val="32"/>
          <w:szCs w:val="32"/>
          <w:highlight w:val="none"/>
          <w:lang w:eastAsia="zh-CN"/>
        </w:rPr>
        <w:t>增收</w:t>
      </w:r>
      <w:r>
        <w:rPr>
          <w:rFonts w:hint="eastAsia" w:ascii="仿宋_GB2312" w:hAnsi="仿宋_GB2312" w:eastAsia="仿宋_GB2312" w:cs="仿宋_GB2312"/>
          <w:spacing w:val="-17"/>
          <w:sz w:val="32"/>
          <w:szCs w:val="32"/>
          <w:highlight w:val="none"/>
          <w:lang w:val="en-US" w:eastAsia="zh-CN"/>
        </w:rPr>
        <w:t>4068</w:t>
      </w:r>
      <w:r>
        <w:rPr>
          <w:rFonts w:hint="eastAsia" w:ascii="仿宋_GB2312" w:hAnsi="仿宋_GB2312" w:eastAsia="仿宋_GB2312" w:cs="仿宋_GB2312"/>
          <w:spacing w:val="-13"/>
          <w:sz w:val="32"/>
          <w:szCs w:val="32"/>
          <w:highlight w:val="none"/>
        </w:rPr>
        <w:t>万元；政府住房基</w:t>
      </w:r>
      <w:r>
        <w:rPr>
          <w:rFonts w:hint="eastAsia" w:ascii="仿宋_GB2312" w:hAnsi="仿宋_GB2312" w:eastAsia="仿宋_GB2312" w:cs="仿宋_GB2312"/>
          <w:spacing w:val="-31"/>
          <w:sz w:val="32"/>
          <w:szCs w:val="32"/>
          <w:highlight w:val="none"/>
        </w:rPr>
        <w:t>金收入</w:t>
      </w:r>
      <w:r>
        <w:rPr>
          <w:rFonts w:hint="eastAsia" w:ascii="仿宋_GB2312" w:hAnsi="仿宋_GB2312" w:eastAsia="仿宋_GB2312" w:cs="仿宋_GB2312"/>
          <w:spacing w:val="-31"/>
          <w:sz w:val="32"/>
          <w:szCs w:val="32"/>
          <w:highlight w:val="none"/>
          <w:lang w:val="en-US" w:eastAsia="zh-CN"/>
        </w:rPr>
        <w:t>179</w:t>
      </w:r>
      <w:r>
        <w:rPr>
          <w:rFonts w:hint="eastAsia" w:ascii="仿宋_GB2312" w:hAnsi="仿宋_GB2312" w:eastAsia="仿宋_GB2312" w:cs="仿宋_GB2312"/>
          <w:spacing w:val="-17"/>
          <w:sz w:val="32"/>
          <w:szCs w:val="32"/>
          <w:highlight w:val="none"/>
        </w:rPr>
        <w:t>元，</w:t>
      </w:r>
      <w:r>
        <w:rPr>
          <w:rFonts w:hint="eastAsia" w:ascii="仿宋_GB2312" w:hAnsi="仿宋_GB2312" w:eastAsia="仿宋_GB2312" w:cs="仿宋_GB2312"/>
          <w:spacing w:val="-13"/>
          <w:sz w:val="32"/>
          <w:szCs w:val="32"/>
        </w:rPr>
        <w:t>占年初预算的</w:t>
      </w:r>
      <w:r>
        <w:rPr>
          <w:rFonts w:hint="eastAsia" w:ascii="仿宋_GB2312" w:hAnsi="仿宋_GB2312" w:eastAsia="仿宋_GB2312" w:cs="仿宋_GB2312"/>
          <w:spacing w:val="-13"/>
          <w:sz w:val="32"/>
          <w:szCs w:val="32"/>
          <w:lang w:val="en-US" w:eastAsia="zh-CN"/>
        </w:rPr>
        <w:t>57.7</w:t>
      </w:r>
      <w:r>
        <w:rPr>
          <w:rFonts w:hint="eastAsia" w:ascii="仿宋_GB2312" w:hAnsi="仿宋_GB2312" w:eastAsia="仿宋_GB2312" w:cs="仿宋_GB2312"/>
          <w:spacing w:val="-17"/>
          <w:sz w:val="32"/>
          <w:szCs w:val="32"/>
        </w:rPr>
        <w:t>％，</w:t>
      </w:r>
      <w:r>
        <w:rPr>
          <w:rFonts w:hint="eastAsia" w:ascii="仿宋_GB2312" w:hAnsi="仿宋_GB2312" w:eastAsia="仿宋_GB2312" w:cs="仿宋_GB2312"/>
          <w:spacing w:val="-12"/>
          <w:sz w:val="32"/>
          <w:szCs w:val="32"/>
          <w:highlight w:val="none"/>
        </w:rPr>
        <w:t>同比</w:t>
      </w:r>
      <w:r>
        <w:rPr>
          <w:rFonts w:hint="eastAsia" w:ascii="仿宋_GB2312" w:hAnsi="仿宋_GB2312" w:eastAsia="仿宋_GB2312" w:cs="仿宋_GB2312"/>
          <w:spacing w:val="-15"/>
          <w:sz w:val="32"/>
          <w:szCs w:val="32"/>
          <w:lang w:val="en-US" w:eastAsia="zh-CN"/>
        </w:rPr>
        <w:t>下降</w:t>
      </w:r>
      <w:r>
        <w:rPr>
          <w:rFonts w:hint="eastAsia" w:ascii="仿宋_GB2312" w:hAnsi="仿宋_GB2312" w:eastAsia="仿宋_GB2312" w:cs="仿宋_GB2312"/>
          <w:spacing w:val="-12"/>
          <w:sz w:val="32"/>
          <w:szCs w:val="32"/>
          <w:highlight w:val="none"/>
        </w:rPr>
        <w:t xml:space="preserve"> </w:t>
      </w:r>
      <w:r>
        <w:rPr>
          <w:rFonts w:hint="eastAsia" w:ascii="仿宋_GB2312" w:hAnsi="仿宋_GB2312" w:eastAsia="仿宋_GB2312" w:cs="仿宋_GB2312"/>
          <w:sz w:val="32"/>
          <w:szCs w:val="32"/>
          <w:highlight w:val="none"/>
          <w:lang w:val="en-US" w:eastAsia="zh-CN"/>
        </w:rPr>
        <w:t>43</w:t>
      </w:r>
      <w:r>
        <w:rPr>
          <w:rFonts w:hint="eastAsia" w:ascii="仿宋_GB2312" w:hAnsi="仿宋_GB2312" w:eastAsia="仿宋_GB2312" w:cs="仿宋_GB2312"/>
          <w:spacing w:val="-17"/>
          <w:sz w:val="32"/>
          <w:szCs w:val="32"/>
          <w:highlight w:val="none"/>
        </w:rPr>
        <w:t>%，</w:t>
      </w:r>
      <w:r>
        <w:rPr>
          <w:rFonts w:hint="eastAsia" w:ascii="仿宋_GB2312" w:hAnsi="仿宋_GB2312" w:eastAsia="仿宋_GB2312" w:cs="仿宋_GB2312"/>
          <w:spacing w:val="-17"/>
          <w:sz w:val="32"/>
          <w:szCs w:val="32"/>
          <w:highlight w:val="none"/>
          <w:lang w:eastAsia="zh-CN"/>
        </w:rPr>
        <w:t>减收</w:t>
      </w:r>
      <w:r>
        <w:rPr>
          <w:rFonts w:hint="eastAsia" w:ascii="仿宋_GB2312" w:hAnsi="仿宋_GB2312" w:eastAsia="仿宋_GB2312" w:cs="仿宋_GB2312"/>
          <w:spacing w:val="-17"/>
          <w:sz w:val="32"/>
          <w:szCs w:val="32"/>
          <w:highlight w:val="none"/>
          <w:lang w:val="en-US" w:eastAsia="zh-CN"/>
        </w:rPr>
        <w:t>135</w:t>
      </w:r>
      <w:r>
        <w:rPr>
          <w:rFonts w:hint="eastAsia" w:ascii="仿宋_GB2312" w:hAnsi="仿宋_GB2312" w:eastAsia="仿宋_GB2312" w:cs="仿宋_GB2312"/>
          <w:spacing w:val="-21"/>
          <w:sz w:val="32"/>
          <w:szCs w:val="32"/>
          <w:highlight w:val="none"/>
        </w:rPr>
        <w:t>元</w:t>
      </w:r>
      <w:r>
        <w:rPr>
          <w:rFonts w:hint="eastAsia" w:ascii="仿宋_GB2312" w:hAnsi="仿宋_GB2312" w:eastAsia="仿宋_GB2312" w:cs="仿宋_GB2312"/>
          <w:spacing w:val="-15"/>
          <w:sz w:val="32"/>
          <w:szCs w:val="32"/>
          <w:highlight w:val="none"/>
          <w:lang w:val="en-US" w:eastAsia="zh-CN"/>
        </w:rPr>
        <w:t>；其他收入完成0万元，同比下降100%，减收55万元。</w:t>
      </w:r>
    </w:p>
    <w:p>
      <w:pPr>
        <w:pStyle w:val="3"/>
        <w:spacing w:before="10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二</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sz w:val="32"/>
          <w:szCs w:val="32"/>
          <w:highlight w:val="none"/>
        </w:rPr>
        <w:t>财政支出执行情况</w:t>
      </w:r>
    </w:p>
    <w:p>
      <w:pPr>
        <w:pStyle w:val="4"/>
        <w:spacing w:before="214" w:line="364" w:lineRule="auto"/>
        <w:ind w:right="120" w:firstLine="834" w:firstLineChars="300"/>
        <w:rPr>
          <w:rFonts w:hint="eastAsia" w:ascii="仿宋_GB2312" w:hAnsi="仿宋_GB2312" w:eastAsia="仿宋_GB2312" w:cs="仿宋_GB2312"/>
          <w:spacing w:val="-21"/>
          <w:sz w:val="32"/>
          <w:szCs w:val="32"/>
          <w:highlight w:val="none"/>
          <w:lang w:val="en-US" w:eastAsia="zh-CN"/>
        </w:rPr>
      </w:pPr>
      <w:r>
        <w:rPr>
          <w:rFonts w:hint="eastAsia" w:ascii="仿宋_GB2312" w:hAnsi="仿宋_GB2312" w:eastAsia="仿宋_GB2312" w:cs="仿宋_GB2312"/>
          <w:spacing w:val="-21"/>
          <w:sz w:val="32"/>
          <w:szCs w:val="32"/>
          <w:highlight w:val="none"/>
          <w:lang w:val="en-US" w:eastAsia="zh-CN"/>
        </w:rPr>
        <w:t>2022年一般财政公共预算支出为 255247万元，同比</w:t>
      </w:r>
      <w:r>
        <w:rPr>
          <w:rFonts w:hint="eastAsia" w:ascii="仿宋_GB2312" w:hAnsi="仿宋_GB2312" w:eastAsia="仿宋_GB2312" w:cs="仿宋_GB2312"/>
          <w:spacing w:val="-15"/>
          <w:sz w:val="32"/>
          <w:szCs w:val="32"/>
          <w:lang w:val="en-US" w:eastAsia="zh-CN"/>
        </w:rPr>
        <w:t>增长</w:t>
      </w:r>
      <w:r>
        <w:rPr>
          <w:rFonts w:hint="eastAsia" w:ascii="仿宋_GB2312" w:hAnsi="仿宋_GB2312" w:eastAsia="仿宋_GB2312" w:cs="仿宋_GB2312"/>
          <w:spacing w:val="-21"/>
          <w:sz w:val="32"/>
          <w:szCs w:val="32"/>
          <w:highlight w:val="none"/>
          <w:lang w:val="en-US" w:eastAsia="zh-CN"/>
        </w:rPr>
        <w:t>29.5％，增支 58086万元；其中：一般公共服务支出为25638万元，同比下降13.9％，减支4130万元 ；国防支出为569万元，同比</w:t>
      </w:r>
      <w:r>
        <w:rPr>
          <w:rFonts w:hint="eastAsia" w:ascii="仿宋_GB2312" w:hAnsi="仿宋_GB2312" w:eastAsia="仿宋_GB2312" w:cs="仿宋_GB2312"/>
          <w:spacing w:val="-15"/>
          <w:sz w:val="32"/>
          <w:szCs w:val="32"/>
          <w:lang w:val="en-US" w:eastAsia="zh-CN"/>
        </w:rPr>
        <w:t>增长181.7</w:t>
      </w:r>
      <w:r>
        <w:rPr>
          <w:rFonts w:hint="eastAsia" w:ascii="仿宋_GB2312" w:hAnsi="仿宋_GB2312" w:eastAsia="仿宋_GB2312" w:cs="仿宋_GB2312"/>
          <w:spacing w:val="-21"/>
          <w:sz w:val="32"/>
          <w:szCs w:val="32"/>
          <w:highlight w:val="none"/>
          <w:lang w:val="en-US" w:eastAsia="zh-CN"/>
        </w:rPr>
        <w:t>％，增支367万元；公共安全支出15338万元，同比下降 3.8％，减支609万元；教育支出31006万元， 同比</w:t>
      </w:r>
      <w:r>
        <w:rPr>
          <w:rFonts w:hint="eastAsia" w:ascii="仿宋_GB2312" w:hAnsi="仿宋_GB2312" w:eastAsia="仿宋_GB2312" w:cs="仿宋_GB2312"/>
          <w:spacing w:val="-15"/>
          <w:sz w:val="32"/>
          <w:szCs w:val="32"/>
          <w:lang w:val="en-US" w:eastAsia="zh-CN"/>
        </w:rPr>
        <w:t>增长7.3</w:t>
      </w:r>
      <w:r>
        <w:rPr>
          <w:rFonts w:hint="eastAsia" w:ascii="仿宋_GB2312" w:hAnsi="仿宋_GB2312" w:eastAsia="仿宋_GB2312" w:cs="仿宋_GB2312"/>
          <w:spacing w:val="-21"/>
          <w:sz w:val="32"/>
          <w:szCs w:val="32"/>
          <w:highlight w:val="none"/>
          <w:lang w:val="en-US" w:eastAsia="zh-CN"/>
        </w:rPr>
        <w:t>％，</w:t>
      </w:r>
      <w:r>
        <w:rPr>
          <w:rFonts w:hint="eastAsia" w:ascii="仿宋_GB2312" w:hAnsi="仿宋_GB2312" w:eastAsia="仿宋_GB2312" w:cs="仿宋_GB2312"/>
          <w:spacing w:val="-15"/>
          <w:sz w:val="32"/>
          <w:szCs w:val="32"/>
          <w:lang w:val="en-US" w:eastAsia="zh-CN"/>
        </w:rPr>
        <w:t>增</w:t>
      </w:r>
      <w:r>
        <w:rPr>
          <w:rFonts w:hint="eastAsia" w:ascii="仿宋_GB2312" w:hAnsi="仿宋_GB2312" w:eastAsia="仿宋_GB2312" w:cs="仿宋_GB2312"/>
          <w:spacing w:val="-21"/>
          <w:sz w:val="32"/>
          <w:szCs w:val="32"/>
          <w:highlight w:val="none"/>
          <w:lang w:val="en-US" w:eastAsia="zh-CN"/>
        </w:rPr>
        <w:t>支2109万元；科学技术支出197万元，同比下降8.4％，减支 18万元；文化旅游体育与传媒支出2796万元， 同比增长20.5％，</w:t>
      </w:r>
      <w:r>
        <w:rPr>
          <w:rFonts w:hint="eastAsia" w:ascii="仿宋_GB2312" w:hAnsi="仿宋_GB2312" w:eastAsia="仿宋_GB2312" w:cs="仿宋_GB2312"/>
          <w:spacing w:val="-15"/>
          <w:sz w:val="32"/>
          <w:szCs w:val="32"/>
          <w:lang w:val="en-US" w:eastAsia="zh-CN"/>
        </w:rPr>
        <w:t>增</w:t>
      </w:r>
      <w:r>
        <w:rPr>
          <w:rFonts w:hint="eastAsia" w:ascii="仿宋_GB2312" w:hAnsi="仿宋_GB2312" w:eastAsia="仿宋_GB2312" w:cs="仿宋_GB2312"/>
          <w:spacing w:val="-21"/>
          <w:sz w:val="32"/>
          <w:szCs w:val="32"/>
          <w:highlight w:val="none"/>
          <w:lang w:val="en-US" w:eastAsia="zh-CN"/>
        </w:rPr>
        <w:t>支475万元；社会保障和就业支出24142万元，同比下降7.1％，减支1852万元；卫生健康支出13194万元，同比下降9.2％，减支1334万元；节能环保支出2178万元，同比下降23.4％，减支664万元；城乡社区支出17257万元，同比增长59.1％，</w:t>
      </w:r>
      <w:r>
        <w:rPr>
          <w:rFonts w:hint="eastAsia" w:ascii="仿宋_GB2312" w:hAnsi="仿宋_GB2312" w:eastAsia="仿宋_GB2312" w:cs="仿宋_GB2312"/>
          <w:spacing w:val="-15"/>
          <w:sz w:val="32"/>
          <w:szCs w:val="32"/>
          <w:lang w:val="en-US" w:eastAsia="zh-CN"/>
        </w:rPr>
        <w:t>增</w:t>
      </w:r>
      <w:r>
        <w:rPr>
          <w:rFonts w:hint="eastAsia" w:ascii="仿宋_GB2312" w:hAnsi="仿宋_GB2312" w:eastAsia="仿宋_GB2312" w:cs="仿宋_GB2312"/>
          <w:spacing w:val="-21"/>
          <w:sz w:val="32"/>
          <w:szCs w:val="32"/>
          <w:highlight w:val="none"/>
          <w:lang w:val="en-US" w:eastAsia="zh-CN"/>
        </w:rPr>
        <w:t>支 6408万元；农林水支出104690万元，同比增长149.1％，增支62664万元；交通运输支出6410万元，同比增长12.1％，增支693万元；资源勘探工业信息等支出1694万元，同比增长755.6％，增支1496万元；商业服务业等支出91万元，同比下降77.1％，减支307万元；金融支出0万元，同比下降100％，减支18万元；自然资源海洋气象等支出741万元，同比下降56.5％，减支963万元；住房保障支出3845万元，同比下降26.9％，减支 1413万元；粮油物资储备支出0万元，同比下降100％；灾害防治及应急管理支出970万元，同比增长10％，增支88万元；其他支出1073万元，同比下降82.7％，减支5118万元；债务付息支出3384万元，同比增长11.1％，增支339万元；债务发行费用支出34万元，同比增长78.9％，增支15万元；政府性基金支出为66762万元，同比增长5％，增支3201万元。国有资本经营预算支出2万元，同比下降50%，减支 2万元。确保了全县干部职工基本工资的发放及农业、扶贫、教育、文化体育与传媒、医疗卫生、节能环保、社会保障等重点支出。</w:t>
      </w:r>
    </w:p>
    <w:p>
      <w:pPr>
        <w:pStyle w:val="3"/>
        <w:spacing w:before="10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三</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sz w:val="32"/>
          <w:szCs w:val="32"/>
          <w:highlight w:val="none"/>
          <w:lang w:eastAsia="zh-CN"/>
        </w:rPr>
        <w:t>基金收支平衡情况</w:t>
      </w:r>
    </w:p>
    <w:p>
      <w:pPr>
        <w:pStyle w:val="4"/>
        <w:spacing w:before="214" w:line="364" w:lineRule="auto"/>
        <w:ind w:right="120" w:firstLine="834" w:firstLineChars="300"/>
        <w:rPr>
          <w:rFonts w:hint="eastAsia" w:ascii="仿宋_GB2312" w:hAnsi="仿宋_GB2312" w:eastAsia="仿宋_GB2312" w:cs="仿宋_GB2312"/>
          <w:sz w:val="32"/>
          <w:szCs w:val="32"/>
          <w:highlight w:val="yellow"/>
          <w:lang w:val="en-US" w:eastAsia="zh-CN"/>
        </w:rPr>
      </w:pPr>
      <w:r>
        <w:rPr>
          <w:rFonts w:hint="eastAsia" w:ascii="仿宋_GB2312" w:hAnsi="仿宋_GB2312" w:eastAsia="仿宋_GB2312" w:cs="仿宋_GB2312"/>
          <w:spacing w:val="-21"/>
          <w:sz w:val="32"/>
          <w:szCs w:val="32"/>
          <w:highlight w:val="none"/>
          <w:lang w:eastAsia="zh-CN"/>
        </w:rPr>
        <w:t>政府性基金预算收入</w:t>
      </w:r>
      <w:r>
        <w:rPr>
          <w:rFonts w:hint="eastAsia" w:ascii="仿宋_GB2312" w:hAnsi="仿宋_GB2312" w:eastAsia="仿宋_GB2312" w:cs="仿宋_GB2312"/>
          <w:sz w:val="32"/>
          <w:szCs w:val="32"/>
          <w:highlight w:val="none"/>
          <w:lang w:eastAsia="zh-CN"/>
        </w:rPr>
        <w:t>完成</w:t>
      </w:r>
      <w:r>
        <w:rPr>
          <w:rFonts w:hint="eastAsia" w:ascii="仿宋_GB2312" w:hAnsi="仿宋_GB2312" w:eastAsia="仿宋_GB2312" w:cs="仿宋_GB2312"/>
          <w:sz w:val="32"/>
          <w:szCs w:val="32"/>
          <w:highlight w:val="none"/>
          <w:lang w:val="en-US" w:eastAsia="zh-CN"/>
        </w:rPr>
        <w:t>11393万元，占年初预算的34.5%，同比</w:t>
      </w:r>
      <w:r>
        <w:rPr>
          <w:rFonts w:hint="eastAsia" w:ascii="仿宋_GB2312" w:hAnsi="仿宋_GB2312" w:eastAsia="仿宋_GB2312" w:cs="仿宋_GB2312"/>
          <w:spacing w:val="-21"/>
          <w:sz w:val="32"/>
          <w:szCs w:val="32"/>
          <w:highlight w:val="none"/>
          <w:lang w:val="en-US" w:eastAsia="zh-CN"/>
        </w:rPr>
        <w:t>下降</w:t>
      </w:r>
      <w:r>
        <w:rPr>
          <w:rFonts w:hint="eastAsia" w:ascii="仿宋_GB2312" w:hAnsi="仿宋_GB2312" w:eastAsia="仿宋_GB2312" w:cs="仿宋_GB2312"/>
          <w:sz w:val="32"/>
          <w:szCs w:val="32"/>
          <w:highlight w:val="none"/>
          <w:lang w:val="en-US" w:eastAsia="zh-CN"/>
        </w:rPr>
        <w:t>39.7%，</w:t>
      </w:r>
      <w:r>
        <w:rPr>
          <w:rFonts w:hint="eastAsia" w:ascii="仿宋_GB2312" w:hAnsi="仿宋_GB2312" w:eastAsia="仿宋_GB2312" w:cs="仿宋_GB2312"/>
          <w:spacing w:val="-15"/>
          <w:sz w:val="32"/>
          <w:szCs w:val="32"/>
          <w:highlight w:val="none"/>
          <w:lang w:val="en-US" w:eastAsia="zh-CN"/>
        </w:rPr>
        <w:t>减</w:t>
      </w:r>
      <w:r>
        <w:rPr>
          <w:rFonts w:hint="eastAsia" w:ascii="仿宋_GB2312" w:hAnsi="仿宋_GB2312" w:eastAsia="仿宋_GB2312" w:cs="仿宋_GB2312"/>
          <w:sz w:val="32"/>
          <w:szCs w:val="32"/>
          <w:highlight w:val="none"/>
          <w:lang w:val="en-US" w:eastAsia="zh-CN"/>
        </w:rPr>
        <w:t>收7492万元。其中：政府性基金收入7325万元，</w:t>
      </w:r>
      <w:r>
        <w:rPr>
          <w:rFonts w:hint="eastAsia" w:ascii="仿宋_GB2312" w:hAnsi="仿宋_GB2312" w:eastAsia="仿宋_GB2312" w:cs="仿宋_GB2312"/>
          <w:spacing w:val="-15"/>
          <w:sz w:val="32"/>
          <w:szCs w:val="32"/>
          <w:highlight w:val="none"/>
          <w:lang w:val="en-US" w:eastAsia="zh-CN"/>
        </w:rPr>
        <w:t>同比降低53.5%，减收8444万元；专项债券对应项目专项收入完成4068万元，同比增长30.55%，增收952万元。</w:t>
      </w:r>
    </w:p>
    <w:p>
      <w:pPr>
        <w:pStyle w:val="3"/>
        <w:spacing w:before="10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sz w:val="32"/>
          <w:szCs w:val="32"/>
          <w:highlight w:val="none"/>
          <w:lang w:val="en-US" w:eastAsia="zh-CN"/>
        </w:rPr>
        <w:t>公共财政预算收支平衡情况</w:t>
      </w:r>
    </w:p>
    <w:p>
      <w:pPr>
        <w:pStyle w:val="3"/>
        <w:keepNext w:val="0"/>
        <w:keepLines w:val="0"/>
        <w:pageBreakBefore w:val="0"/>
        <w:widowControl w:val="0"/>
        <w:kinsoku/>
        <w:wordWrap/>
        <w:overflowPunct/>
        <w:topLinePunct w:val="0"/>
        <w:autoSpaceDE w:val="0"/>
        <w:autoSpaceDN w:val="0"/>
        <w:bidi w:val="0"/>
        <w:adjustRightInd/>
        <w:snapToGrid/>
        <w:spacing w:before="214" w:line="365" w:lineRule="auto"/>
        <w:ind w:left="108" w:right="44" w:rightChars="20" w:firstLine="834" w:firstLineChars="300"/>
        <w:textAlignment w:val="auto"/>
        <w:rPr>
          <w:rFonts w:hint="eastAsia" w:ascii="仿宋_GB2312" w:hAnsi="仿宋_GB2312" w:eastAsia="仿宋_GB2312" w:cs="仿宋_GB2312"/>
          <w:b w:val="0"/>
          <w:bCs w:val="0"/>
          <w:spacing w:val="-21"/>
          <w:sz w:val="32"/>
          <w:szCs w:val="32"/>
          <w:highlight w:val="none"/>
          <w:lang w:val="en-US" w:eastAsia="zh-CN" w:bidi="zh-CN"/>
        </w:rPr>
      </w:pPr>
      <w:r>
        <w:rPr>
          <w:rFonts w:hint="eastAsia" w:ascii="仿宋_GB2312" w:hAnsi="仿宋_GB2312" w:eastAsia="仿宋_GB2312" w:cs="仿宋_GB2312"/>
          <w:b w:val="0"/>
          <w:bCs w:val="0"/>
          <w:spacing w:val="-21"/>
          <w:sz w:val="32"/>
          <w:szCs w:val="32"/>
          <w:highlight w:val="none"/>
          <w:lang w:val="en-US" w:eastAsia="zh-CN" w:bidi="zh-CN"/>
        </w:rPr>
        <w:t>收入方面：今年我县总财力为270880万元。主要包含以下项目：（一）一般公共预算收入51967万元；（二）返还性收入595万元，其中：所得税基数返还收入66万元，增值税税收返还收入487万元，消费税税收返还收入42万元。（三）一般性转移支付收入169167万元，其中：体制补助收入2892万元，均衡性转移支付收入15787万元，县级基本财力保障机制奖补资金收入15416万元，结算补助收入4994万元，产粮（油）大县奖励资金收入314万元，重点生态功能区转移支付收入3404万元，固定数额补助收入20849万元，边境地区转移支付收入11592万元，欠发达地区转移支付收入7035万元，一般公共服务共同财政事权转移支付收入428万元，公共安全共同财政事权转移支付收入1151万元，教育共同财政事权转移支付收入3814万元，科学技术共同财政事权转移支付收入20万元，文化旅游体育与传媒共同财政事权转移支付收入882万元，社会保障和就业共同财政事权转移支付收入6758万元，医疗卫生共同财政事权转移支付收入5383万元，节能环保共同财政事权转移支付收入1686万元，农林水共同财政事权转移支付收入23059万元，交通运输共同财政事权转移支付收入3411万元，资源勘探工业信息等共同财政事权转移支付收入265万元，住房保障共同财政事权转移支付收入636万元，灾害防治及应急管理共同财政事权转移支付收入301万元，增值税留抵退税转移支付收入1985万元，其他退税减税降费转移支付收入747万元，补充县区财力转移支付收入7815万元，其他一般性转移支付收入28543万元。（四）专项转移支付收入16078万元，其中：一般公共服务978万元，公共安全1500万元，教育278万元，科学技术38万元，社会保障和就业10万元，卫生健康155万元，节能环保1069万元，城乡社区2533万元，农林水2333万元，交通运输200万元，资源勘探信息等30万元，住房保障2603万元，灾害防治及应急管理74万元，其他收入4277万元。（五）上年结余资金492万元。（六）调入资金181万元。（七）债务转贷收入32400万元。支出方面：全年一般公共预算支出255247万元，上解上级支出2294万元，债务还本支出10627万元，安排预算稳定调节基金2049万元。</w:t>
      </w:r>
    </w:p>
    <w:p>
      <w:pPr>
        <w:ind w:firstLine="425"/>
        <w:rPr>
          <w:rFonts w:hint="eastAsia" w:ascii="仿宋_GB2312" w:hAnsi="仿宋_GB2312" w:eastAsia="仿宋_GB2312" w:cs="仿宋_GB2312"/>
          <w:b/>
          <w:bCs/>
          <w:sz w:val="32"/>
          <w:szCs w:val="32"/>
          <w:highlight w:val="none"/>
          <w:lang w:val="en-US" w:eastAsia="zh-CN" w:bidi="zh-CN"/>
        </w:rPr>
      </w:pPr>
      <w:r>
        <w:rPr>
          <w:rFonts w:hint="eastAsia" w:ascii="仿宋_GB2312" w:hAnsi="仿宋_GB2312" w:eastAsia="仿宋_GB2312" w:cs="仿宋_GB2312"/>
          <w:b/>
          <w:bCs/>
          <w:sz w:val="32"/>
          <w:szCs w:val="32"/>
          <w:highlight w:val="none"/>
          <w:lang w:val="en-US" w:eastAsia="zh-CN" w:bidi="zh-CN"/>
        </w:rPr>
        <w:t>五</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b/>
          <w:bCs/>
          <w:sz w:val="32"/>
          <w:szCs w:val="32"/>
          <w:highlight w:val="none"/>
          <w:lang w:val="en-US" w:eastAsia="zh-CN" w:bidi="zh-CN"/>
        </w:rPr>
        <w:t>国有资本经营预算转移性收支情况</w:t>
      </w:r>
    </w:p>
    <w:p>
      <w:pPr>
        <w:ind w:firstLine="425"/>
        <w:rPr>
          <w:rFonts w:hint="default" w:ascii="仿宋_GB2312" w:hAnsi="仿宋_GB2312" w:eastAsia="仿宋_GB2312" w:cs="仿宋_GB2312"/>
          <w:b/>
          <w:bCs/>
          <w:sz w:val="32"/>
          <w:szCs w:val="32"/>
          <w:highlight w:val="none"/>
          <w:lang w:val="en-US" w:eastAsia="zh-CN" w:bidi="zh-CN"/>
        </w:rPr>
      </w:pPr>
      <w:r>
        <w:rPr>
          <w:rFonts w:hint="eastAsia" w:ascii="仿宋_GB2312" w:hAnsi="仿宋_GB2312" w:eastAsia="仿宋_GB2312" w:cs="仿宋_GB2312"/>
          <w:b w:val="0"/>
          <w:bCs w:val="0"/>
          <w:spacing w:val="-21"/>
          <w:sz w:val="32"/>
          <w:szCs w:val="32"/>
          <w:highlight w:val="none"/>
          <w:lang w:val="en-US" w:eastAsia="zh-CN" w:bidi="zh-CN"/>
        </w:rPr>
        <w:t>2022年，国有资本经营预算收入为3万元，支出国有资本经营预算支出2万元。</w:t>
      </w:r>
    </w:p>
    <w:p>
      <w:pPr>
        <w:ind w:firstLine="482" w:firstLineChars="150"/>
        <w:rPr>
          <w:rFonts w:hint="eastAsia" w:ascii="仿宋_GB2312" w:hAnsi="仿宋_GB2312" w:eastAsia="仿宋_GB2312" w:cs="仿宋_GB2312"/>
          <w:b/>
          <w:bCs/>
          <w:sz w:val="32"/>
          <w:szCs w:val="32"/>
          <w:highlight w:val="none"/>
          <w:lang w:val="en-US" w:eastAsia="zh-CN" w:bidi="zh-CN"/>
        </w:rPr>
      </w:pPr>
      <w:r>
        <w:rPr>
          <w:rFonts w:hint="eastAsia" w:ascii="仿宋_GB2312" w:hAnsi="仿宋_GB2312" w:eastAsia="仿宋_GB2312" w:cs="仿宋_GB2312"/>
          <w:b/>
          <w:bCs/>
          <w:sz w:val="32"/>
          <w:szCs w:val="32"/>
          <w:highlight w:val="none"/>
          <w:lang w:val="en-US" w:eastAsia="zh-CN" w:bidi="zh-CN"/>
        </w:rPr>
        <w:t>六</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b/>
          <w:bCs/>
          <w:sz w:val="32"/>
          <w:szCs w:val="32"/>
          <w:highlight w:val="none"/>
          <w:lang w:val="en-US" w:eastAsia="zh-CN" w:bidi="zh-CN"/>
        </w:rPr>
        <w:t>财政供养人员变动情况</w:t>
      </w:r>
    </w:p>
    <w:p>
      <w:pPr>
        <w:keepNext w:val="0"/>
        <w:keepLines w:val="0"/>
        <w:pageBreakBefore w:val="0"/>
        <w:widowControl w:val="0"/>
        <w:kinsoku/>
        <w:wordWrap/>
        <w:overflowPunct/>
        <w:topLinePunct w:val="0"/>
        <w:autoSpaceDE w:val="0"/>
        <w:autoSpaceDN w:val="0"/>
        <w:bidi w:val="0"/>
        <w:adjustRightInd/>
        <w:snapToGrid/>
        <w:spacing w:line="360" w:lineRule="auto"/>
        <w:ind w:firstLine="417" w:firstLineChars="150"/>
        <w:textAlignment w:val="auto"/>
        <w:rPr>
          <w:rFonts w:hint="eastAsia" w:ascii="仿宋_GB2312" w:hAnsi="仿宋_GB2312" w:eastAsia="仿宋_GB2312" w:cs="仿宋_GB2312"/>
          <w:b w:val="0"/>
          <w:bCs w:val="0"/>
          <w:spacing w:val="-21"/>
          <w:sz w:val="32"/>
          <w:szCs w:val="32"/>
          <w:highlight w:val="none"/>
          <w:lang w:val="en-US" w:eastAsia="zh-CN" w:bidi="zh-CN"/>
        </w:rPr>
      </w:pPr>
      <w:r>
        <w:rPr>
          <w:rFonts w:hint="eastAsia" w:ascii="仿宋_GB2312" w:hAnsi="仿宋_GB2312" w:eastAsia="仿宋_GB2312" w:cs="仿宋_GB2312"/>
          <w:b w:val="0"/>
          <w:bCs w:val="0"/>
          <w:spacing w:val="-21"/>
          <w:sz w:val="32"/>
          <w:szCs w:val="32"/>
          <w:highlight w:val="none"/>
          <w:lang w:val="en-US" w:eastAsia="zh-CN" w:bidi="zh-CN"/>
        </w:rPr>
        <w:t>2022年，年末独立编制机构数152个，独立核算机构数107个。年末在职人数3854人。其中：一般公共预算财政拨款开支人员在职3854人（行政人员944人，参照公务员法管理事业人员261人，非参公事业人员2649人）。年末其他人员共2388人，其中一般公共预算财政拨款开支人员2214人。年末学生人数8636人，年末遗属人员196人。</w:t>
      </w:r>
    </w:p>
    <w:p>
      <w:pPr>
        <w:ind w:firstLine="425"/>
        <w:rPr>
          <w:rFonts w:hint="eastAsia" w:ascii="仿宋_GB2312" w:hAnsi="仿宋_GB2312" w:eastAsia="仿宋_GB2312" w:cs="仿宋_GB2312"/>
          <w:b/>
          <w:bCs/>
          <w:sz w:val="32"/>
          <w:szCs w:val="32"/>
          <w:highlight w:val="none"/>
          <w:lang w:val="en-US" w:eastAsia="zh-CN" w:bidi="zh-CN"/>
        </w:rPr>
      </w:pPr>
      <w:r>
        <w:rPr>
          <w:rFonts w:hint="eastAsia" w:ascii="仿宋_GB2312" w:hAnsi="仿宋_GB2312" w:eastAsia="仿宋_GB2312" w:cs="仿宋_GB2312"/>
          <w:b/>
          <w:bCs/>
          <w:sz w:val="32"/>
          <w:szCs w:val="32"/>
          <w:highlight w:val="none"/>
          <w:lang w:val="en-US" w:eastAsia="zh-CN" w:bidi="zh-CN"/>
        </w:rPr>
        <w:t>七、财政预算执行中存在的问题</w:t>
      </w:r>
      <w:bookmarkStart w:id="0" w:name="_GoBack"/>
      <w:bookmarkEnd w:id="0"/>
    </w:p>
    <w:p>
      <w:pPr>
        <w:keepNext w:val="0"/>
        <w:keepLines w:val="0"/>
        <w:pageBreakBefore w:val="0"/>
        <w:widowControl w:val="0"/>
        <w:kinsoku/>
        <w:wordWrap/>
        <w:overflowPunct/>
        <w:topLinePunct w:val="0"/>
        <w:autoSpaceDE w:val="0"/>
        <w:autoSpaceDN w:val="0"/>
        <w:bidi w:val="0"/>
        <w:adjustRightInd/>
        <w:snapToGrid/>
        <w:spacing w:line="360" w:lineRule="auto"/>
        <w:ind w:firstLine="556" w:firstLineChars="200"/>
        <w:textAlignment w:val="auto"/>
        <w:rPr>
          <w:rFonts w:hint="eastAsia" w:ascii="仿宋_GB2312" w:hAnsi="仿宋_GB2312" w:eastAsia="仿宋_GB2312" w:cs="仿宋_GB2312"/>
          <w:b w:val="0"/>
          <w:bCs w:val="0"/>
          <w:spacing w:val="-21"/>
          <w:sz w:val="32"/>
          <w:szCs w:val="32"/>
          <w:highlight w:val="none"/>
          <w:lang w:val="en-US" w:eastAsia="zh-CN" w:bidi="zh-CN"/>
        </w:rPr>
      </w:pPr>
      <w:r>
        <w:rPr>
          <w:rFonts w:hint="eastAsia" w:ascii="仿宋_GB2312" w:hAnsi="仿宋_GB2312" w:eastAsia="仿宋_GB2312" w:cs="仿宋_GB2312"/>
          <w:b w:val="0"/>
          <w:bCs w:val="0"/>
          <w:spacing w:val="-21"/>
          <w:sz w:val="32"/>
          <w:szCs w:val="32"/>
          <w:highlight w:val="none"/>
          <w:lang w:val="en-US" w:eastAsia="zh-CN" w:bidi="zh-CN"/>
        </w:rPr>
        <w:t>2022年，财政预算执行总体平稳，财政收入保持稳步增长，但运行中也存在不容忽视和亟待解决的问题，主要表现在：</w:t>
      </w:r>
    </w:p>
    <w:p>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仿宋_GB2312" w:hAnsi="仿宋_GB2312" w:eastAsia="仿宋_GB2312" w:cs="仿宋_GB2312"/>
          <w:b w:val="0"/>
          <w:bCs w:val="0"/>
          <w:spacing w:val="-21"/>
          <w:sz w:val="32"/>
          <w:szCs w:val="32"/>
          <w:highlight w:val="none"/>
          <w:lang w:val="en-US" w:eastAsia="zh-CN" w:bidi="zh-CN"/>
        </w:rPr>
      </w:pPr>
      <w:r>
        <w:rPr>
          <w:rFonts w:hint="eastAsia" w:ascii="仿宋_GB2312" w:hAnsi="仿宋_GB2312" w:eastAsia="仿宋_GB2312" w:cs="仿宋_GB2312"/>
          <w:b w:val="0"/>
          <w:bCs w:val="0"/>
          <w:spacing w:val="-21"/>
          <w:sz w:val="32"/>
          <w:szCs w:val="32"/>
          <w:highlight w:val="none"/>
          <w:lang w:val="en-US" w:eastAsia="zh-CN" w:bidi="zh-CN"/>
        </w:rPr>
        <w:t>1、公共财政预算收入中一次性税收所占比重较大，且税收收入对煤炭、建安行业依赖性强，重点税源单一，财政增收难度加大。2021年税收入比重70.3%，非税收入29.7%，财政综合可用财力较少，所以我县财政实力仍然薄弱。2、财政支出快速增长，收支矛盾更加突出。增人增资、发放绩效考核奖金以及提高相关人员收入待遇，新农村建设，城市建设，农业补贴、政府贷款还本付息等经济社会发展的资金需求大幅增长，收支矛盾十分突出，我们只能一方面加强预算管理、勤俭节约、严格控制超预算支出，另一方面努力争取超收和上级增加财力性转移支付来化解目前的财政困难。</w:t>
      </w:r>
    </w:p>
    <w:p>
      <w:pPr>
        <w:numPr>
          <w:ilvl w:val="0"/>
          <w:numId w:val="0"/>
        </w:numPr>
        <w:ind w:firstLine="321" w:firstLineChars="100"/>
        <w:jc w:val="both"/>
        <w:rPr>
          <w:rFonts w:hint="eastAsia" w:ascii="仿宋_GB2312" w:hAnsi="仿宋_GB2312" w:eastAsia="仿宋_GB2312" w:cs="仿宋_GB2312"/>
          <w:b w:val="0"/>
          <w:bCs w:val="0"/>
          <w:spacing w:val="-21"/>
          <w:sz w:val="32"/>
          <w:szCs w:val="32"/>
          <w:highlight w:val="none"/>
          <w:lang w:val="en-US" w:eastAsia="zh-CN" w:bidi="zh-CN"/>
        </w:rPr>
      </w:pPr>
      <w:r>
        <w:rPr>
          <w:rFonts w:hint="eastAsia" w:ascii="仿宋_GB2312" w:hAnsi="仿宋_GB2312" w:eastAsia="仿宋_GB2312" w:cs="仿宋_GB2312"/>
          <w:b/>
          <w:bCs/>
          <w:sz w:val="32"/>
          <w:szCs w:val="32"/>
          <w:highlight w:val="none"/>
          <w:lang w:val="en-US" w:eastAsia="zh-CN" w:bidi="zh-CN"/>
        </w:rPr>
        <w:t>八、2022年主要做法和措施</w:t>
      </w:r>
    </w:p>
    <w:p>
      <w:pPr>
        <w:pStyle w:val="4"/>
        <w:spacing w:before="214" w:line="364" w:lineRule="auto"/>
        <w:ind w:right="120" w:firstLine="834" w:firstLineChars="300"/>
        <w:rPr>
          <w:rFonts w:hint="eastAsia" w:ascii="仿宋_GB2312" w:hAnsi="仿宋_GB2312" w:eastAsia="仿宋_GB2312" w:cs="仿宋_GB2312"/>
          <w:sz w:val="32"/>
          <w:szCs w:val="32"/>
          <w:highlight w:val="none"/>
        </w:rPr>
      </w:pPr>
      <w:r>
        <w:rPr>
          <w:rFonts w:hint="eastAsia" w:ascii="仿宋_GB2312" w:hAnsi="仿宋_GB2312" w:eastAsia="仿宋_GB2312" w:cs="仿宋_GB2312"/>
          <w:b w:val="0"/>
          <w:bCs w:val="0"/>
          <w:spacing w:val="-21"/>
          <w:sz w:val="32"/>
          <w:szCs w:val="32"/>
          <w:highlight w:val="none"/>
          <w:lang w:val="en-US" w:eastAsia="zh-CN" w:bidi="zh-CN"/>
        </w:rPr>
        <w:t>一是积极推动信息共享，收集自然资源局、草监所、税务等部门的风光电项目审批、土地审批、工程建设、注册登记等信息，进一步提高税源监控能力，强化部门联动，为下一步精准测算税额，确保应收尽收奠定坚实基础。二是压实非税收入征管部门责任，狠抓非税收入征缴，强化各类资源类资产类非税收入征收，严格非税收入依法规范征管，积极与执收单位对接，实现即收即缴。在落实减税降费政策、支持中小微企业发展的同时，坚持组织收入原则，做到应减尽减，应收尽收。努力把疫情影响降到最低，积极作为，攻坚克难，挖潜增收，为统筹做好疫情防控和支持经济社会发展提供坚实的财力保障。</w:t>
      </w:r>
      <w:r>
        <w:rPr>
          <w:rFonts w:hint="eastAsia" w:ascii="仿宋_GB2312" w:hAnsi="仿宋_GB2312" w:eastAsia="仿宋_GB2312" w:cs="仿宋_GB2312"/>
          <w:spacing w:val="-21"/>
          <w:sz w:val="32"/>
          <w:szCs w:val="32"/>
          <w:highlight w:val="none"/>
          <w:lang w:val="en-US" w:eastAsia="zh-CN"/>
        </w:rPr>
        <w:t>三，扎实做好“六稳”工作，全面落实“六保”任务，确保重点支出。一是明确报基本</w:t>
      </w:r>
      <w:r>
        <w:rPr>
          <w:rFonts w:hint="eastAsia" w:ascii="仿宋_GB2312" w:hAnsi="仿宋_GB2312" w:eastAsia="仿宋_GB2312" w:cs="仿宋_GB2312"/>
          <w:sz w:val="32"/>
          <w:szCs w:val="32"/>
          <w:highlight w:val="none"/>
        </w:rPr>
        <w:t>民生、保基层运转。我们通过积极组织财政收入、挖掘增收潜力、争取上级转移支付资金等有力措施，确保“六保”工作落实到位。</w:t>
      </w:r>
      <w:r>
        <w:rPr>
          <w:rFonts w:hint="eastAsia" w:ascii="仿宋_GB2312" w:hAnsi="仿宋_GB2312" w:eastAsia="仿宋_GB2312" w:cs="仿宋_GB2312"/>
          <w:sz w:val="32"/>
          <w:szCs w:val="32"/>
          <w:highlight w:val="none"/>
          <w:lang w:eastAsia="zh-CN"/>
        </w:rPr>
        <w:t>四</w:t>
      </w:r>
      <w:r>
        <w:rPr>
          <w:rFonts w:hint="eastAsia" w:ascii="仿宋_GB2312" w:hAnsi="仿宋_GB2312" w:eastAsia="仿宋_GB2312" w:cs="仿宋_GB2312"/>
          <w:sz w:val="32"/>
          <w:szCs w:val="32"/>
          <w:highlight w:val="none"/>
        </w:rPr>
        <w:t xml:space="preserve">，强化支出管理，积极稳妥改革。一是继续深化部门预算改革。切实加强预算执行力度，深化财政预算公开， </w:t>
      </w:r>
      <w:r>
        <w:rPr>
          <w:rFonts w:hint="eastAsia" w:ascii="仿宋_GB2312" w:hAnsi="仿宋_GB2312" w:eastAsia="仿宋_GB2312" w:cs="仿宋_GB2312"/>
          <w:spacing w:val="-8"/>
          <w:w w:val="95"/>
          <w:sz w:val="32"/>
          <w:szCs w:val="32"/>
          <w:highlight w:val="none"/>
        </w:rPr>
        <w:t>进一步提高预算编制的科学性、完整性、严谨性和透明度。二是稳步推进国库集中支付制度改革。进一步健全相关制度</w:t>
      </w:r>
      <w:r>
        <w:rPr>
          <w:rFonts w:hint="eastAsia" w:ascii="仿宋_GB2312" w:hAnsi="仿宋_GB2312" w:eastAsia="仿宋_GB2312" w:cs="仿宋_GB2312"/>
          <w:spacing w:val="-8"/>
          <w:w w:val="95"/>
          <w:sz w:val="32"/>
          <w:szCs w:val="32"/>
          <w:highlight w:val="none"/>
          <w:lang w:val="en-US"/>
        </w:rPr>
        <w:t>,</w:t>
      </w:r>
      <w:r>
        <w:rPr>
          <w:rFonts w:hint="eastAsia" w:ascii="仿宋_GB2312" w:hAnsi="仿宋_GB2312" w:eastAsia="仿宋_GB2312" w:cs="仿宋_GB2312"/>
          <w:spacing w:val="-8"/>
          <w:sz w:val="32"/>
          <w:szCs w:val="32"/>
          <w:highlight w:val="none"/>
        </w:rPr>
        <w:t>简化操作规程，不断提高财政资金使用效率，三是进一步规范政府采购行为。</w:t>
      </w:r>
    </w:p>
    <w:sectPr>
      <w:footerReference r:id="rId3" w:type="default"/>
      <w:pgSz w:w="20640" w:h="14580" w:orient="landscape"/>
      <w:pgMar w:top="1360" w:right="1420" w:bottom="1180" w:left="2160" w:header="0" w:footer="989"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mc:AlternateContent>
        <mc:Choice Requires="wps">
          <w:drawing>
            <wp:anchor distT="0" distB="0" distL="114300" distR="114300" simplePos="0" relativeHeight="251557888" behindDoc="1" locked="0" layoutInCell="1" allowOverlap="1">
              <wp:simplePos x="0" y="0"/>
              <wp:positionH relativeFrom="page">
                <wp:posOffset>6593840</wp:posOffset>
              </wp:positionH>
              <wp:positionV relativeFrom="page">
                <wp:posOffset>8485505</wp:posOffset>
              </wp:positionV>
              <wp:extent cx="277495" cy="19431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77495" cy="194310"/>
                      </a:xfrm>
                      <a:prstGeom prst="rect">
                        <a:avLst/>
                      </a:prstGeom>
                      <a:noFill/>
                      <a:ln>
                        <a:noFill/>
                      </a:ln>
                    </wps:spPr>
                    <wps:txbx>
                      <w:txbxContent>
                        <w:p>
                          <w:pPr>
                            <w:spacing w:before="10"/>
                            <w:ind w:left="20" w:right="0" w:firstLine="0"/>
                            <w:jc w:val="left"/>
                            <w:rPr>
                              <w:rFonts w:ascii="Times New Roman"/>
                              <w:sz w:val="24"/>
                            </w:rPr>
                          </w:pPr>
                          <w:r>
                            <w:rPr>
                              <w:rFonts w:ascii="Times New Roman"/>
                              <w:sz w:val="24"/>
                            </w:rPr>
                            <w:t xml:space="preserve">- </w:t>
                          </w:r>
                          <w:r>
                            <w:fldChar w:fldCharType="begin"/>
                          </w:r>
                          <w:r>
                            <w:rPr>
                              <w:rFonts w:ascii="Times New Roman"/>
                              <w:sz w:val="24"/>
                            </w:rPr>
                            <w:instrText xml:space="preserve"> PAGE </w:instrText>
                          </w:r>
                          <w:r>
                            <w:fldChar w:fldCharType="separate"/>
                          </w:r>
                          <w:r>
                            <w:t>1</w:t>
                          </w:r>
                          <w:r>
                            <w:fldChar w:fldCharType="end"/>
                          </w:r>
                          <w:r>
                            <w:rPr>
                              <w:rFonts w:ascii="Times New Roman"/>
                              <w:sz w:val="24"/>
                            </w:rPr>
                            <w:t xml:space="preserve"> -</w:t>
                          </w:r>
                        </w:p>
                      </w:txbxContent>
                    </wps:txbx>
                    <wps:bodyPr lIns="0" tIns="0" rIns="0" bIns="0" upright="1"/>
                  </wps:wsp>
                </a:graphicData>
              </a:graphic>
            </wp:anchor>
          </w:drawing>
        </mc:Choice>
        <mc:Fallback>
          <w:pict>
            <v:shape id="_x0000_s1026" o:spid="_x0000_s1026" o:spt="202" type="#_x0000_t202" style="position:absolute;left:0pt;margin-left:519.2pt;margin-top:668.15pt;height:15.3pt;width:21.85pt;mso-position-horizontal-relative:page;mso-position-vertical-relative:page;z-index:-251758592;mso-width-relative:page;mso-height-relative:page;" filled="f" stroked="f" coordsize="21600,21600" o:gfxdata="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8HvdfbAAAADwEAAA8AAAAA&#10;AAAAAQAgAAAAIgAAAGRycy9kb3ducmV2LnhtbFBLAQIUABQAAAAIAIdO4kAvYPqCnwEAACMDAAAO&#10;AAAAAAAAAAEAIAAAACoBAABkcnMvZTJvRG9jLnhtbFBLBQYAAAAABgAGAFkBAAA7BQAAAAA=&#10;">
              <v:fill on="f" focussize="0,0"/>
              <v:stroke on="f"/>
              <v:imagedata o:title=""/>
              <o:lock v:ext="edit" aspectratio="f"/>
              <v:textbox inset="0mm,0mm,0mm,0mm">
                <w:txbxContent>
                  <w:p>
                    <w:pPr>
                      <w:spacing w:before="10"/>
                      <w:ind w:left="20" w:right="0" w:firstLine="0"/>
                      <w:jc w:val="left"/>
                      <w:rPr>
                        <w:rFonts w:ascii="Times New Roman"/>
                        <w:sz w:val="24"/>
                      </w:rPr>
                    </w:pPr>
                    <w:r>
                      <w:rPr>
                        <w:rFonts w:ascii="Times New Roman"/>
                        <w:sz w:val="24"/>
                      </w:rPr>
                      <w:t xml:space="preserve">- </w:t>
                    </w:r>
                    <w:r>
                      <w:fldChar w:fldCharType="begin"/>
                    </w:r>
                    <w:r>
                      <w:rPr>
                        <w:rFonts w:ascii="Times New Roman"/>
                        <w:sz w:val="24"/>
                      </w:rPr>
                      <w:instrText xml:space="preserve"> PAGE </w:instrText>
                    </w:r>
                    <w:r>
                      <w:fldChar w:fldCharType="separate"/>
                    </w:r>
                    <w:r>
                      <w:t>1</w:t>
                    </w:r>
                    <w:r>
                      <w:fldChar w:fldCharType="end"/>
                    </w:r>
                    <w:r>
                      <w:rPr>
                        <w:rFonts w:ascii="Times New Roman"/>
                        <w:sz w:val="2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82120"/>
    <w:rsid w:val="013F3A1C"/>
    <w:rsid w:val="02226EA9"/>
    <w:rsid w:val="024C6789"/>
    <w:rsid w:val="02557452"/>
    <w:rsid w:val="02F83A9A"/>
    <w:rsid w:val="044F7DEA"/>
    <w:rsid w:val="04B44E94"/>
    <w:rsid w:val="054E2F67"/>
    <w:rsid w:val="05E3094E"/>
    <w:rsid w:val="05E95C2B"/>
    <w:rsid w:val="06355A96"/>
    <w:rsid w:val="06557818"/>
    <w:rsid w:val="07192925"/>
    <w:rsid w:val="099F05E5"/>
    <w:rsid w:val="0A7357C1"/>
    <w:rsid w:val="0AF7106D"/>
    <w:rsid w:val="0B0065FB"/>
    <w:rsid w:val="0BB077E2"/>
    <w:rsid w:val="0C532190"/>
    <w:rsid w:val="0CB94962"/>
    <w:rsid w:val="0CC348C1"/>
    <w:rsid w:val="0E3A31E6"/>
    <w:rsid w:val="0E452C32"/>
    <w:rsid w:val="0EB205C6"/>
    <w:rsid w:val="0F057B48"/>
    <w:rsid w:val="0F39628D"/>
    <w:rsid w:val="0F613036"/>
    <w:rsid w:val="0FF46778"/>
    <w:rsid w:val="101128B7"/>
    <w:rsid w:val="104F1C00"/>
    <w:rsid w:val="105A7EAE"/>
    <w:rsid w:val="10A71111"/>
    <w:rsid w:val="10CB4651"/>
    <w:rsid w:val="114B02BE"/>
    <w:rsid w:val="1166584A"/>
    <w:rsid w:val="121D2005"/>
    <w:rsid w:val="12C91578"/>
    <w:rsid w:val="12CA16CD"/>
    <w:rsid w:val="12CE6838"/>
    <w:rsid w:val="12DA6CFC"/>
    <w:rsid w:val="13980685"/>
    <w:rsid w:val="13CF3D90"/>
    <w:rsid w:val="144348FD"/>
    <w:rsid w:val="146875C1"/>
    <w:rsid w:val="14790D86"/>
    <w:rsid w:val="14F905C8"/>
    <w:rsid w:val="15122CA5"/>
    <w:rsid w:val="15DE7FF3"/>
    <w:rsid w:val="15F3554E"/>
    <w:rsid w:val="160B0F4E"/>
    <w:rsid w:val="16A363BF"/>
    <w:rsid w:val="177153E2"/>
    <w:rsid w:val="17806B82"/>
    <w:rsid w:val="17AE0250"/>
    <w:rsid w:val="18A81ED4"/>
    <w:rsid w:val="194E465B"/>
    <w:rsid w:val="19524BDE"/>
    <w:rsid w:val="196F2FCA"/>
    <w:rsid w:val="1A020102"/>
    <w:rsid w:val="1A205A30"/>
    <w:rsid w:val="1AD1306A"/>
    <w:rsid w:val="1B290DD2"/>
    <w:rsid w:val="1C0A5A8F"/>
    <w:rsid w:val="1C4B5A10"/>
    <w:rsid w:val="1D107412"/>
    <w:rsid w:val="1D693471"/>
    <w:rsid w:val="1D8642EF"/>
    <w:rsid w:val="1DBA14AF"/>
    <w:rsid w:val="1DF57255"/>
    <w:rsid w:val="1E427D6F"/>
    <w:rsid w:val="1E7B6626"/>
    <w:rsid w:val="1EAA7E2A"/>
    <w:rsid w:val="1FF2552F"/>
    <w:rsid w:val="208D07CC"/>
    <w:rsid w:val="20FD3902"/>
    <w:rsid w:val="217F7AF6"/>
    <w:rsid w:val="220E0296"/>
    <w:rsid w:val="226A1088"/>
    <w:rsid w:val="226E2A2D"/>
    <w:rsid w:val="22847FAE"/>
    <w:rsid w:val="22EB463C"/>
    <w:rsid w:val="23BD3824"/>
    <w:rsid w:val="23BE71DC"/>
    <w:rsid w:val="244D3FC0"/>
    <w:rsid w:val="24AA536B"/>
    <w:rsid w:val="251F4CB5"/>
    <w:rsid w:val="25435A1E"/>
    <w:rsid w:val="259E6AD3"/>
    <w:rsid w:val="25BF05E6"/>
    <w:rsid w:val="25D85AAB"/>
    <w:rsid w:val="25EF4FE8"/>
    <w:rsid w:val="264A1D0B"/>
    <w:rsid w:val="26B42BFD"/>
    <w:rsid w:val="26B43B48"/>
    <w:rsid w:val="271C4658"/>
    <w:rsid w:val="27686304"/>
    <w:rsid w:val="27FC2AE6"/>
    <w:rsid w:val="28EC4549"/>
    <w:rsid w:val="29603DB2"/>
    <w:rsid w:val="29687AF0"/>
    <w:rsid w:val="2A8E63C4"/>
    <w:rsid w:val="2AD21977"/>
    <w:rsid w:val="2AE90169"/>
    <w:rsid w:val="2B0410B5"/>
    <w:rsid w:val="2B2170AB"/>
    <w:rsid w:val="2B8324BE"/>
    <w:rsid w:val="2C7A771E"/>
    <w:rsid w:val="2CAF7A7C"/>
    <w:rsid w:val="2D1353E6"/>
    <w:rsid w:val="2D8C0F9A"/>
    <w:rsid w:val="2DCD1A45"/>
    <w:rsid w:val="2E8A42FF"/>
    <w:rsid w:val="2ECE6550"/>
    <w:rsid w:val="2F27636D"/>
    <w:rsid w:val="2F4F2B7B"/>
    <w:rsid w:val="2FB63F8C"/>
    <w:rsid w:val="2FBA40D6"/>
    <w:rsid w:val="305639AA"/>
    <w:rsid w:val="31050766"/>
    <w:rsid w:val="312B417D"/>
    <w:rsid w:val="312B60EE"/>
    <w:rsid w:val="31590238"/>
    <w:rsid w:val="3167317D"/>
    <w:rsid w:val="31EA796F"/>
    <w:rsid w:val="32070BB4"/>
    <w:rsid w:val="3211676E"/>
    <w:rsid w:val="323363C8"/>
    <w:rsid w:val="32CF7931"/>
    <w:rsid w:val="33316C3C"/>
    <w:rsid w:val="34A31E45"/>
    <w:rsid w:val="34C52B93"/>
    <w:rsid w:val="357C43EB"/>
    <w:rsid w:val="363174B2"/>
    <w:rsid w:val="371F19C5"/>
    <w:rsid w:val="37C3613E"/>
    <w:rsid w:val="38DC7652"/>
    <w:rsid w:val="39CF62FC"/>
    <w:rsid w:val="39E80984"/>
    <w:rsid w:val="3B411260"/>
    <w:rsid w:val="3B49447A"/>
    <w:rsid w:val="3B9C4BFC"/>
    <w:rsid w:val="3C1310AA"/>
    <w:rsid w:val="3C1E4C48"/>
    <w:rsid w:val="3C7E1955"/>
    <w:rsid w:val="3C9A2F61"/>
    <w:rsid w:val="3CF26E16"/>
    <w:rsid w:val="3D8E3967"/>
    <w:rsid w:val="3E18011A"/>
    <w:rsid w:val="3EA336A5"/>
    <w:rsid w:val="3EB27D2A"/>
    <w:rsid w:val="3FE56B57"/>
    <w:rsid w:val="4070063D"/>
    <w:rsid w:val="414365D6"/>
    <w:rsid w:val="419777E9"/>
    <w:rsid w:val="42A90CDD"/>
    <w:rsid w:val="43800C00"/>
    <w:rsid w:val="43893E3D"/>
    <w:rsid w:val="44B447F7"/>
    <w:rsid w:val="44EB0A3A"/>
    <w:rsid w:val="458A1C88"/>
    <w:rsid w:val="46071ABD"/>
    <w:rsid w:val="46371560"/>
    <w:rsid w:val="46786895"/>
    <w:rsid w:val="46BA12BE"/>
    <w:rsid w:val="470D4DB6"/>
    <w:rsid w:val="47C344B9"/>
    <w:rsid w:val="47F51535"/>
    <w:rsid w:val="48A52809"/>
    <w:rsid w:val="48B7675A"/>
    <w:rsid w:val="48CB5324"/>
    <w:rsid w:val="49470FF9"/>
    <w:rsid w:val="499508B5"/>
    <w:rsid w:val="4B6C239D"/>
    <w:rsid w:val="4BAD498B"/>
    <w:rsid w:val="4C2434B8"/>
    <w:rsid w:val="4C355CE6"/>
    <w:rsid w:val="4C9C5561"/>
    <w:rsid w:val="4D150457"/>
    <w:rsid w:val="4E3E26C9"/>
    <w:rsid w:val="4E9B0B48"/>
    <w:rsid w:val="4EBB10A9"/>
    <w:rsid w:val="4EC26082"/>
    <w:rsid w:val="4F15753A"/>
    <w:rsid w:val="5004442F"/>
    <w:rsid w:val="50EE0BF8"/>
    <w:rsid w:val="51E418DB"/>
    <w:rsid w:val="52147D32"/>
    <w:rsid w:val="5254112D"/>
    <w:rsid w:val="52A31AA7"/>
    <w:rsid w:val="52D16CBA"/>
    <w:rsid w:val="53021482"/>
    <w:rsid w:val="53B62CEF"/>
    <w:rsid w:val="53F63EF8"/>
    <w:rsid w:val="54DF0668"/>
    <w:rsid w:val="55110F51"/>
    <w:rsid w:val="55C333E0"/>
    <w:rsid w:val="55DC2D98"/>
    <w:rsid w:val="55F51AA8"/>
    <w:rsid w:val="56143934"/>
    <w:rsid w:val="56EB681A"/>
    <w:rsid w:val="575F1CEB"/>
    <w:rsid w:val="576508C5"/>
    <w:rsid w:val="5769353C"/>
    <w:rsid w:val="577E5E9D"/>
    <w:rsid w:val="57D9621D"/>
    <w:rsid w:val="58FB565B"/>
    <w:rsid w:val="596908BE"/>
    <w:rsid w:val="5A1464C2"/>
    <w:rsid w:val="5A2617CF"/>
    <w:rsid w:val="5A9D0E1E"/>
    <w:rsid w:val="5AD2022B"/>
    <w:rsid w:val="5B002F04"/>
    <w:rsid w:val="5B0B02DB"/>
    <w:rsid w:val="5B38483E"/>
    <w:rsid w:val="5B526588"/>
    <w:rsid w:val="5B745832"/>
    <w:rsid w:val="5B965EEA"/>
    <w:rsid w:val="5C086776"/>
    <w:rsid w:val="5C4E13A9"/>
    <w:rsid w:val="5C690372"/>
    <w:rsid w:val="5C6E097C"/>
    <w:rsid w:val="5CB13C39"/>
    <w:rsid w:val="5EC163D0"/>
    <w:rsid w:val="5ED14431"/>
    <w:rsid w:val="5F6E43C2"/>
    <w:rsid w:val="5FBF5A4B"/>
    <w:rsid w:val="600222E0"/>
    <w:rsid w:val="6039430E"/>
    <w:rsid w:val="60AA24AF"/>
    <w:rsid w:val="61991870"/>
    <w:rsid w:val="62065EC5"/>
    <w:rsid w:val="623E2127"/>
    <w:rsid w:val="62AE5CA6"/>
    <w:rsid w:val="62F7385E"/>
    <w:rsid w:val="638A4414"/>
    <w:rsid w:val="63CC2F8B"/>
    <w:rsid w:val="6454432A"/>
    <w:rsid w:val="64C35FE0"/>
    <w:rsid w:val="651B3046"/>
    <w:rsid w:val="65A65AFF"/>
    <w:rsid w:val="65D766AF"/>
    <w:rsid w:val="695F2C1E"/>
    <w:rsid w:val="6A2823EC"/>
    <w:rsid w:val="6A29607C"/>
    <w:rsid w:val="6A9E7117"/>
    <w:rsid w:val="6ADC6703"/>
    <w:rsid w:val="6B400888"/>
    <w:rsid w:val="6B7D106F"/>
    <w:rsid w:val="6BCB56B1"/>
    <w:rsid w:val="6BE363ED"/>
    <w:rsid w:val="6C01358F"/>
    <w:rsid w:val="6D0F7009"/>
    <w:rsid w:val="6D3243BB"/>
    <w:rsid w:val="6D3B3931"/>
    <w:rsid w:val="6D7D1506"/>
    <w:rsid w:val="6DBC291E"/>
    <w:rsid w:val="6DC335BB"/>
    <w:rsid w:val="6DEA0B8D"/>
    <w:rsid w:val="6DFB40CB"/>
    <w:rsid w:val="6E823D13"/>
    <w:rsid w:val="6EA24042"/>
    <w:rsid w:val="6F53062B"/>
    <w:rsid w:val="6F66089F"/>
    <w:rsid w:val="701E7E36"/>
    <w:rsid w:val="718C104F"/>
    <w:rsid w:val="71B61D4A"/>
    <w:rsid w:val="71ED6B8E"/>
    <w:rsid w:val="72B56014"/>
    <w:rsid w:val="734463A0"/>
    <w:rsid w:val="73AC7CD2"/>
    <w:rsid w:val="73C264CE"/>
    <w:rsid w:val="74335571"/>
    <w:rsid w:val="75A61195"/>
    <w:rsid w:val="75F579CE"/>
    <w:rsid w:val="76B813C7"/>
    <w:rsid w:val="76E84A3B"/>
    <w:rsid w:val="772A6D93"/>
    <w:rsid w:val="772C2CFB"/>
    <w:rsid w:val="773A2BEC"/>
    <w:rsid w:val="78D9534E"/>
    <w:rsid w:val="794A5B85"/>
    <w:rsid w:val="7A1F3F34"/>
    <w:rsid w:val="7AF902FA"/>
    <w:rsid w:val="7B142BC2"/>
    <w:rsid w:val="7B1E7D7B"/>
    <w:rsid w:val="7B291DF7"/>
    <w:rsid w:val="7CC77267"/>
    <w:rsid w:val="7D147226"/>
    <w:rsid w:val="7DDC2289"/>
    <w:rsid w:val="7E2A5392"/>
    <w:rsid w:val="7E416D57"/>
    <w:rsid w:val="7E7B72CE"/>
    <w:rsid w:val="7E9041AD"/>
    <w:rsid w:val="7ED452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134"/>
      <w:ind w:left="5065" w:right="5235"/>
      <w:jc w:val="center"/>
      <w:outlineLvl w:val="1"/>
    </w:pPr>
    <w:rPr>
      <w:rFonts w:ascii="宋体" w:hAnsi="宋体" w:eastAsia="宋体" w:cs="宋体"/>
      <w:sz w:val="48"/>
      <w:szCs w:val="48"/>
      <w:lang w:val="zh-CN" w:eastAsia="zh-CN" w:bidi="zh-CN"/>
    </w:rPr>
  </w:style>
  <w:style w:type="paragraph" w:styleId="3">
    <w:name w:val="heading 2"/>
    <w:basedOn w:val="1"/>
    <w:next w:val="1"/>
    <w:qFormat/>
    <w:uiPriority w:val="1"/>
    <w:pPr>
      <w:ind w:left="748"/>
      <w:outlineLvl w:val="2"/>
    </w:pPr>
    <w:rPr>
      <w:rFonts w:ascii="微软雅黑" w:hAnsi="微软雅黑" w:eastAsia="微软雅黑" w:cs="微软雅黑"/>
      <w:b/>
      <w:bCs/>
      <w:sz w:val="32"/>
      <w:szCs w:val="32"/>
      <w:lang w:val="zh-CN" w:eastAsia="zh-CN" w:bidi="zh-CN"/>
    </w:rPr>
  </w:style>
  <w:style w:type="character" w:default="1" w:styleId="5">
    <w:name w:val="Default Paragraph Font"/>
    <w:semiHidden/>
    <w:unhideWhenUsed/>
    <w:qFormat/>
    <w:uiPriority w:val="1"/>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1"/>
    <w:pPr>
      <w:ind w:left="108"/>
    </w:pPr>
    <w:rPr>
      <w:rFonts w:ascii="宋体" w:hAnsi="宋体" w:eastAsia="宋体" w:cs="宋体"/>
      <w:sz w:val="32"/>
      <w:szCs w:val="32"/>
      <w:lang w:val="zh-CN" w:eastAsia="zh-CN" w:bidi="zh-CN"/>
    </w:rPr>
  </w:style>
  <w:style w:type="table" w:customStyle="1" w:styleId="7">
    <w:name w:val="Table Normal"/>
    <w:semiHidden/>
    <w:unhideWhenUsed/>
    <w:qFormat/>
    <w:uiPriority w:val="2"/>
    <w:tblPr>
      <w:tblLayout w:type="fixed"/>
      <w:tblCellMar>
        <w:top w:w="0" w:type="dxa"/>
        <w:left w:w="0" w:type="dxa"/>
        <w:bottom w:w="0" w:type="dxa"/>
        <w:right w:w="0" w:type="dxa"/>
      </w:tblCellMar>
    </w:tblPr>
  </w:style>
  <w:style w:type="paragraph" w:styleId="8">
    <w:name w:val="List Paragraph"/>
    <w:basedOn w:val="1"/>
    <w:qFormat/>
    <w:uiPriority w:val="1"/>
    <w:rPr>
      <w:lang w:val="zh-CN" w:eastAsia="zh-CN" w:bidi="zh-CN"/>
    </w:rPr>
  </w:style>
  <w:style w:type="paragraph" w:customStyle="1" w:styleId="9">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ScaleCrop>false</ScaleCrop>
  <LinksUpToDate>false</LinksUpToDate>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2021-04-06T07:23:00Z</dcterms:created>
  <dc:creator>XXZX</dc:creator>
  <cp:lastModifiedBy>Administrator</cp:lastModifiedBy>
  <dcterms:modified xsi:type="dcterms:W3CDTF">2023-08-07T09:27:37Z</dcterms:modified>
  <dc:title>    沁水县财政局_C 0 0九年财政总决算编报分析    2 009年是贯彻落实十七大、十七届三中、’四中全会的关键年，在过去的一年中，在县委、县政府的领导下，在上级财政部门的指导下，以科学发展观统领财政工作全局，以建立经济强县为目标，认真落实积极的财政政策，支持国有企业改革，努力增加财政收入，积极稳妥推进财政改革，整顿和规范财经秩序，强化财政管理，大力调整支出结构，保稳定，保改革，促发展，保平衡</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2020-10-09T00:00:00Z</vt:filetime>
  </property>
  <property fmtid="{D5CDD505-2E9C-101B-9397-08002B2CF9AE}" pid="3" name="Creator">
    <vt:lpwstr>WPS 文字</vt:lpwstr>
  </property>
  <property fmtid="{D5CDD505-2E9C-101B-9397-08002B2CF9AE}" pid="4" name="LastSaved">
    <vt:filetime>2021-04-06T00:00:00Z</vt:filetime>
  </property>
  <property fmtid="{D5CDD505-2E9C-101B-9397-08002B2CF9AE}" pid="5" name="KSOProductBuildVer">
    <vt:lpwstr>2052-10.1.0.7520</vt:lpwstr>
  </property>
</Properties>
</file>