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DFF" w:rsidRDefault="0091457F">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d"/>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bookmarkStart w:id="0" w:name="_GoBack"/>
      <w:bookmarkEnd w:id="0"/>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d"/>
          <w:rFonts w:ascii="楷体" w:eastAsia="楷体" w:hAnsi="楷体" w:hint="eastAsia"/>
          <w:spacing w:val="-4"/>
          <w:sz w:val="32"/>
          <w:szCs w:val="32"/>
        </w:rPr>
        <w:t>木垒县自然资源局河湖水域岸线和水利工程划界确权项目</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d"/>
          <w:rFonts w:ascii="楷体" w:eastAsia="楷体" w:hAnsi="楷体" w:hint="eastAsia"/>
          <w:spacing w:val="-4"/>
          <w:sz w:val="28"/>
          <w:szCs w:val="28"/>
        </w:rPr>
        <w:t>木垒哈萨克自治县自然资源局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d"/>
          <w:rFonts w:ascii="楷体" w:eastAsia="楷体" w:hAnsi="楷体" w:hint="eastAsia"/>
          <w:spacing w:val="-4"/>
          <w:sz w:val="28"/>
          <w:szCs w:val="28"/>
        </w:rPr>
        <w:t>木垒哈萨克自治县自然资源局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d"/>
          <w:rFonts w:ascii="楷体" w:eastAsia="楷体" w:hAnsi="楷体" w:hint="eastAsia"/>
          <w:spacing w:val="-4"/>
          <w:sz w:val="32"/>
          <w:szCs w:val="32"/>
        </w:rPr>
        <w:t>马博</w:t>
      </w:r>
    </w:p>
    <w:p w:rsidR="00311DBE" w:rsidRDefault="0091457F" w:rsidP="00311DBE">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sidR="00311DBE">
        <w:rPr>
          <w:rStyle w:val="ad"/>
          <w:rFonts w:ascii="楷体" w:eastAsia="楷体" w:hAnsi="楷体" w:hint="eastAsia"/>
          <w:spacing w:val="-4"/>
          <w:sz w:val="32"/>
          <w:szCs w:val="32"/>
        </w:rPr>
        <w:t>2023年03月27日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d"/>
          <w:rFonts w:ascii="黑体" w:eastAsia="黑体" w:hAnsi="黑体"/>
          <w:b w:val="0"/>
          <w:spacing w:val="-4"/>
          <w:sz w:val="32"/>
          <w:szCs w:val="32"/>
        </w:rPr>
      </w:pPr>
    </w:p>
    <w:p w:rsidR="00102DFF" w:rsidRDefault="0091457F">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一、项目概况</w:t>
      </w:r>
    </w:p>
    <w:p w:rsidR="00102DFF" w:rsidRDefault="0091457F">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（一）项目单位基本情况</w:t>
      </w:r>
    </w:p>
    <w:p w:rsidR="00102DFF" w:rsidRDefault="00311DBE">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r>
        <w:rPr>
          <w:rStyle w:val="ad"/>
          <w:rFonts w:ascii="楷体" w:eastAsia="楷体" w:hAnsi="楷体" w:hint="eastAsia"/>
          <w:spacing w:val="-4"/>
          <w:sz w:val="32"/>
          <w:szCs w:val="32"/>
        </w:rPr>
        <w:br/>
        <w:t>1.项目背景</w:t>
      </w:r>
      <w:r>
        <w:rPr>
          <w:rStyle w:val="ad"/>
          <w:rFonts w:ascii="楷体" w:eastAsia="楷体" w:hAnsi="楷体" w:hint="eastAsia"/>
          <w:spacing w:val="-4"/>
          <w:sz w:val="32"/>
          <w:szCs w:val="32"/>
        </w:rPr>
        <w:br/>
        <w:t>为了认真贯彻落实《水利部办公厅关于开展河湖及水利工程划界确权情况调查工作的通知》（水利部办建管﹝2014﹞186号）精神，依据昌吉州《关于在第三次全国土地调查中做好河湖水域岸线和水利工程划界确权工作的通知》(昌州国土调查办发﹝2018﹞7号)的文件要求，河湖具有重要的资源功能合生态功能，开展河湖水域岸线合水利工程管理保护范围划界确权工作已列入国家、自治区、昌吉州加快生态文明建设、实施河湖长制工作。为加快解决河湖管护突出问题、着力构建归属清晰、权责明确、监管有效的水利产权制度。我县需全面查清全县河湖水域及水利工程土地利用现状，划定河湖水域岸线管理边界，明确河湖水域岸线坐标，将全县的河湖水域岸线范围内的河流、水库、水源地及水利工程等生态空间纳入自然资源统一确权登记范畴，切实保障我县防洪安全，供水安全和生态安全。</w:t>
      </w:r>
      <w:r>
        <w:rPr>
          <w:rStyle w:val="ad"/>
          <w:rFonts w:ascii="楷体" w:eastAsia="楷体" w:hAnsi="楷体" w:hint="eastAsia"/>
          <w:spacing w:val="-4"/>
          <w:sz w:val="32"/>
          <w:szCs w:val="32"/>
        </w:rPr>
        <w:br/>
        <w:t>2.项目主要内容</w:t>
      </w:r>
      <w:r>
        <w:rPr>
          <w:rStyle w:val="ad"/>
          <w:rFonts w:ascii="楷体" w:eastAsia="楷体" w:hAnsi="楷体" w:hint="eastAsia"/>
          <w:spacing w:val="-4"/>
          <w:sz w:val="32"/>
          <w:szCs w:val="32"/>
        </w:rPr>
        <w:br/>
        <w:t>根据对木垒县水利工程调查摸底，全县需进行划界确权工作的水利工程有：中小型水库16座、纳入河长制管理的河流、沟30条、中型水闸3座、干支渠道20条、水源地9处、水厂21座。2019年底完成全县河湖水域岸线和水利工程划界登记颁证工作。同时，今后新建、改建和扩建的水利工程，应在工程可研报告和初步设计中明确管理范围，并在竣工验收前由县级以上人民</w:t>
      </w:r>
      <w:r>
        <w:rPr>
          <w:rStyle w:val="ad"/>
          <w:rFonts w:ascii="楷体" w:eastAsia="楷体" w:hAnsi="楷体" w:hint="eastAsia"/>
          <w:spacing w:val="-4"/>
          <w:sz w:val="32"/>
          <w:szCs w:val="32"/>
        </w:rPr>
        <w:lastRenderedPageBreak/>
        <w:t>政府划定，完成征供土地确权工作。</w:t>
      </w:r>
      <w:r>
        <w:rPr>
          <w:rStyle w:val="ad"/>
          <w:rFonts w:ascii="楷体" w:eastAsia="楷体" w:hAnsi="楷体" w:hint="eastAsia"/>
          <w:spacing w:val="-4"/>
          <w:sz w:val="32"/>
          <w:szCs w:val="32"/>
        </w:rPr>
        <w:br/>
        <w:t>3.项目实施情况</w:t>
      </w:r>
      <w:r>
        <w:rPr>
          <w:rStyle w:val="ad"/>
          <w:rFonts w:ascii="楷体" w:eastAsia="楷体" w:hAnsi="楷体" w:hint="eastAsia"/>
          <w:spacing w:val="-4"/>
          <w:sz w:val="32"/>
          <w:szCs w:val="32"/>
        </w:rPr>
        <w:br/>
        <w:t>本项目由木垒县自然资源局和水利局牵头，结合第三次全国土地调查工作，全面查清全县河湖水域及水利工程土地利用现状，划定河湖水域岸线管理保护范围边界，明确河湖水域岸线空间坐标，将全县河水域岸线范围内的河流、水库、水源地及水利工程等生态空间纳入自然资源统一确权登记范畴，为建立水生态环境治理长效机制、河湖管理保护体系定坚实基础，切实保障全县防洪安全、供水安全和生态安全。到2020年完成全县纳入河湖长制管理的河湖水域岸线和水利工程管理保护范围边界的划定工作，水利工程管理保护范围划定后办理土地使用权属登记手续。</w:t>
      </w:r>
      <w:r>
        <w:rPr>
          <w:rStyle w:val="ad"/>
          <w:rFonts w:ascii="楷体" w:eastAsia="楷体" w:hAnsi="楷体" w:hint="eastAsia"/>
          <w:spacing w:val="-4"/>
          <w:sz w:val="32"/>
          <w:szCs w:val="32"/>
        </w:rPr>
        <w:br/>
        <w:t>4.资金投入和使用情况</w:t>
      </w:r>
      <w:r>
        <w:rPr>
          <w:rStyle w:val="ad"/>
          <w:rFonts w:ascii="楷体" w:eastAsia="楷体" w:hAnsi="楷体" w:hint="eastAsia"/>
          <w:spacing w:val="-4"/>
          <w:sz w:val="32"/>
          <w:szCs w:val="32"/>
        </w:rPr>
        <w:br/>
        <w:t>木垒县河湖水域岸线合水利工程划界确权项目项目资金于2022年6月30日木垒县财政局下发的木财预字(2020)182号文件安排资金为30万元，为本级财政资金，实际到位率30万元，资金到位率100%，实际执行30万元，执行率100%，资金落实到位。为确保项目资金的安全有效使用、安全运行，提高资金的使用效率，我单位严格按照木垒县自然资源局财务会计内部控制制度执行，资金由财政大平台统一拨付，由财政监管，严禁随意调整预算，改变支出用途，做到专款专用，严禁截留、挪用、挤占项目资金等违规问题的发生。</w:t>
      </w:r>
    </w:p>
    <w:p w:rsidR="00102DFF" w:rsidRDefault="0091457F">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（二）项目预算</w:t>
      </w:r>
      <w:r>
        <w:rPr>
          <w:rStyle w:val="ad"/>
          <w:rFonts w:ascii="楷体" w:eastAsia="楷体" w:hAnsi="楷体"/>
          <w:spacing w:val="-4"/>
          <w:sz w:val="32"/>
          <w:szCs w:val="32"/>
        </w:rPr>
        <w:t>绩效目标</w:t>
      </w:r>
      <w:r>
        <w:rPr>
          <w:rStyle w:val="ad"/>
          <w:rFonts w:ascii="楷体" w:eastAsia="楷体" w:hAnsi="楷体" w:hint="eastAsia"/>
          <w:spacing w:val="-4"/>
          <w:sz w:val="32"/>
          <w:szCs w:val="32"/>
        </w:rPr>
        <w:t>设定情况</w:t>
      </w:r>
    </w:p>
    <w:p w:rsidR="00311DBE" w:rsidRDefault="00311DBE" w:rsidP="00311DBE">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1.总体目标</w:t>
      </w:r>
      <w:r>
        <w:rPr>
          <w:rStyle w:val="ad"/>
          <w:rFonts w:ascii="楷体" w:eastAsia="楷体" w:hAnsi="楷体" w:hint="eastAsia"/>
          <w:spacing w:val="-4"/>
          <w:sz w:val="32"/>
          <w:szCs w:val="32"/>
        </w:rPr>
        <w:br/>
        <w:t>全面查清全县河湖水域及水利工程土地利用现状，划定河湖水</w:t>
      </w:r>
      <w:r>
        <w:rPr>
          <w:rStyle w:val="ad"/>
          <w:rFonts w:ascii="楷体" w:eastAsia="楷体" w:hAnsi="楷体" w:hint="eastAsia"/>
          <w:spacing w:val="-4"/>
          <w:sz w:val="32"/>
          <w:szCs w:val="32"/>
        </w:rPr>
        <w:lastRenderedPageBreak/>
        <w:t>域岸线管理保护范围边界，明确河湖水域岸线空间坐标，将全县河水域岸线范围内的河流、水库、水源地及水利工程等生态空间纳入自然资源统一确权登记范畴，为建立水生态环境治理长效机制、河湖管理保护体系定坚实基础，切实保障全县防洪安全、供水安全和生态安全。</w:t>
      </w:r>
      <w:r>
        <w:rPr>
          <w:rStyle w:val="ad"/>
          <w:rFonts w:ascii="楷体" w:eastAsia="楷体" w:hAnsi="楷体" w:hint="eastAsia"/>
          <w:spacing w:val="-4"/>
          <w:sz w:val="32"/>
          <w:szCs w:val="32"/>
        </w:rPr>
        <w:br/>
        <w:t>2.阶段性目标</w:t>
      </w:r>
      <w:r>
        <w:rPr>
          <w:rStyle w:val="ad"/>
          <w:rFonts w:ascii="楷体" w:eastAsia="楷体" w:hAnsi="楷体" w:hint="eastAsia"/>
          <w:spacing w:val="-4"/>
          <w:sz w:val="32"/>
          <w:szCs w:val="32"/>
        </w:rPr>
        <w:br/>
        <w:t>2.1（2018年11月－2019年1月）开展河湖水域岸线和水利工程土地使用权地籍调查。明确国有土地使用权范围，确定调查登记单元，全面查清辖区内重点水利工程权属、空间位置、界址、面积和用途等土地使用权状况</w:t>
      </w:r>
      <w:r>
        <w:rPr>
          <w:rStyle w:val="ad"/>
          <w:rFonts w:ascii="楷体" w:eastAsia="楷体" w:hAnsi="楷体" w:hint="eastAsia"/>
          <w:spacing w:val="-4"/>
          <w:sz w:val="32"/>
          <w:szCs w:val="32"/>
        </w:rPr>
        <w:br/>
        <w:t>2.2（2019年2月－2019年6月）划定河湖水域岸线和水利工程管理范围及保护范围。实地划定河湖水域岸管理范围，埋设界标和公示牌，明确界线地理坐标，形成一河一图、一库一图、一闸一图的空间范围数据，完善确权定界纸质资料和电子档案。</w:t>
      </w:r>
      <w:r>
        <w:rPr>
          <w:rStyle w:val="ad"/>
          <w:rFonts w:ascii="楷体" w:eastAsia="楷体" w:hAnsi="楷体" w:hint="eastAsia"/>
          <w:spacing w:val="-4"/>
          <w:sz w:val="32"/>
          <w:szCs w:val="32"/>
        </w:rPr>
        <w:br/>
        <w:t>2.3（2019年6月－2019年7月）建立河湖水域划界确权数据库和管理信息平台。将河湖水域确权过程采集的矢量数据及编辑的属性信息入库，建立县级河湖水域岸线和水利工程划界确权专项数据库。</w:t>
      </w:r>
      <w:r>
        <w:rPr>
          <w:rStyle w:val="ad"/>
          <w:rFonts w:ascii="楷体" w:eastAsia="楷体" w:hAnsi="楷体" w:hint="eastAsia"/>
          <w:spacing w:val="-4"/>
          <w:sz w:val="32"/>
          <w:szCs w:val="32"/>
        </w:rPr>
        <w:br/>
        <w:t>2.4（2019年7月－2019年12月）登记颁证。县国士、水利部门对调查结果、登记附图和相关审批文件等登记内容进行审核。审核无异议的，将河湖水域岸线和水利工程登记事项按程序报审后，在县人民政府门户网站进行公告，河湖水域岸线及水利工程管理保护空间涉及集体土地所有权的，应在集体经济组织内部进行公示。县国土部门根据《土地登记办法》及《不动产登记暂行条例》等相关规定，对权属合法、界址清楚的河湖水</w:t>
      </w:r>
      <w:r>
        <w:rPr>
          <w:rStyle w:val="ad"/>
          <w:rFonts w:ascii="楷体" w:eastAsia="楷体" w:hAnsi="楷体" w:hint="eastAsia"/>
          <w:spacing w:val="-4"/>
          <w:sz w:val="32"/>
          <w:szCs w:val="32"/>
        </w:rPr>
        <w:lastRenderedPageBreak/>
        <w:t>域岸线和水利工程土地使用权登记证。</w:t>
      </w:r>
    </w:p>
    <w:p w:rsidR="00102DFF" w:rsidRDefault="0091457F">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r>
        <w:rPr>
          <w:rStyle w:val="ad"/>
          <w:rFonts w:ascii="楷体" w:eastAsia="楷体" w:hAnsi="楷体" w:hint="eastAsia"/>
          <w:spacing w:val="-4"/>
          <w:sz w:val="32"/>
          <w:szCs w:val="32"/>
        </w:rPr>
        <w:br/>
        <w:t>1.绩效评价目的</w:t>
      </w:r>
      <w:r>
        <w:rPr>
          <w:rStyle w:val="ad"/>
          <w:rFonts w:ascii="楷体" w:eastAsia="楷体" w:hAnsi="楷体" w:hint="eastAsia"/>
          <w:spacing w:val="-4"/>
          <w:sz w:val="32"/>
          <w:szCs w:val="32"/>
        </w:rPr>
        <w:br/>
        <w:t>通过对2022年度本级财政下拨的木垒县河湖水域岸线合水利工程划界确权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Pr>
          <w:rStyle w:val="ad"/>
          <w:rFonts w:ascii="楷体" w:eastAsia="楷体" w:hAnsi="楷体" w:hint="eastAsia"/>
          <w:spacing w:val="-4"/>
          <w:sz w:val="32"/>
          <w:szCs w:val="32"/>
        </w:rPr>
        <w:br/>
        <w:t>2.绩效评价对象</w:t>
      </w:r>
      <w:r>
        <w:rPr>
          <w:rStyle w:val="ad"/>
          <w:rFonts w:ascii="楷体" w:eastAsia="楷体" w:hAnsi="楷体" w:hint="eastAsia"/>
          <w:spacing w:val="-4"/>
          <w:sz w:val="32"/>
          <w:szCs w:val="32"/>
        </w:rPr>
        <w:br/>
        <w:t>木垒县河湖水域岸线合水利工程划界确权项目支出资金。</w:t>
      </w:r>
      <w:r>
        <w:rPr>
          <w:rStyle w:val="ad"/>
          <w:rFonts w:ascii="楷体" w:eastAsia="楷体" w:hAnsi="楷体" w:hint="eastAsia"/>
          <w:spacing w:val="-4"/>
          <w:sz w:val="32"/>
          <w:szCs w:val="32"/>
        </w:rPr>
        <w:br/>
        <w:t>3.绩效评价范围</w:t>
      </w:r>
      <w:r>
        <w:rPr>
          <w:rStyle w:val="ad"/>
          <w:rFonts w:ascii="楷体" w:eastAsia="楷体" w:hAnsi="楷体" w:hint="eastAsia"/>
          <w:spacing w:val="-4"/>
          <w:sz w:val="32"/>
          <w:szCs w:val="32"/>
        </w:rPr>
        <w:br/>
        <w:t>主要对木垒县河湖水域岸线合水利工程划界确权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rsidR="00102DFF" w:rsidRDefault="0091457F">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（二）绩效评价原则、评价指标体系、评价方法、评价标准等</w:t>
      </w:r>
      <w:r>
        <w:rPr>
          <w:rStyle w:val="ad"/>
          <w:rFonts w:ascii="楷体" w:eastAsia="楷体" w:hAnsi="楷体" w:hint="eastAsia"/>
          <w:spacing w:val="-4"/>
          <w:sz w:val="32"/>
          <w:szCs w:val="32"/>
        </w:rPr>
        <w:br/>
        <w:t>1.绩效评价原则</w:t>
      </w:r>
      <w:r>
        <w:rPr>
          <w:rStyle w:val="ad"/>
          <w:rFonts w:ascii="楷体" w:eastAsia="楷体" w:hAnsi="楷体" w:hint="eastAsia"/>
          <w:spacing w:val="-4"/>
          <w:sz w:val="32"/>
          <w:szCs w:val="32"/>
        </w:rPr>
        <w:br/>
        <w:t>本次绩效评价严格按照《财政部关于印发&lt;项目支出绩效评价管理办法&gt;的通知》（财预【2020】10号）等文件要求，按照科学</w:t>
      </w:r>
      <w:r>
        <w:rPr>
          <w:rStyle w:val="ad"/>
          <w:rFonts w:ascii="楷体" w:eastAsia="楷体" w:hAnsi="楷体" w:hint="eastAsia"/>
          <w:spacing w:val="-4"/>
          <w:sz w:val="32"/>
          <w:szCs w:val="32"/>
        </w:rPr>
        <w:lastRenderedPageBreak/>
        <w:t>合理的方式，综合分析考核项目的绩效情况。</w:t>
      </w:r>
      <w:r>
        <w:rPr>
          <w:rStyle w:val="ad"/>
          <w:rFonts w:ascii="楷体" w:eastAsia="楷体" w:hAnsi="楷体" w:hint="eastAsia"/>
          <w:spacing w:val="-4"/>
          <w:sz w:val="32"/>
          <w:szCs w:val="32"/>
        </w:rPr>
        <w:br/>
        <w:t>（1）科学规范原则。坚持严格执行规定的程序，按照科学可行的要求，采用定量与定性分析相结合的方法。</w:t>
      </w:r>
      <w:r>
        <w:rPr>
          <w:rStyle w:val="ad"/>
          <w:rFonts w:ascii="楷体" w:eastAsia="楷体" w:hAnsi="楷体" w:hint="eastAsia"/>
          <w:spacing w:val="-4"/>
          <w:sz w:val="32"/>
          <w:szCs w:val="32"/>
        </w:rPr>
        <w:br/>
        <w:t>（2）公正公开原则。坚持符合真实、客观、公正的要求，依法公开并接受监督。</w:t>
      </w:r>
      <w:r>
        <w:rPr>
          <w:rStyle w:val="ad"/>
          <w:rFonts w:ascii="楷体" w:eastAsia="楷体" w:hAnsi="楷体" w:hint="eastAsia"/>
          <w:spacing w:val="-4"/>
          <w:sz w:val="32"/>
          <w:szCs w:val="32"/>
        </w:rPr>
        <w:br/>
        <w:t>（3）分级分类原则。坚持根据评价对象的特点分类组织实施。</w:t>
      </w:r>
      <w:r>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Pr>
          <w:rStyle w:val="ad"/>
          <w:rFonts w:ascii="楷体" w:eastAsia="楷体" w:hAnsi="楷体" w:hint="eastAsia"/>
          <w:spacing w:val="-4"/>
          <w:sz w:val="32"/>
          <w:szCs w:val="32"/>
        </w:rPr>
        <w:br/>
        <w:t>2.评价指标体系</w:t>
      </w:r>
      <w:r>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Pr>
          <w:rStyle w:val="ad"/>
          <w:rFonts w:ascii="楷体" w:eastAsia="楷体" w:hAnsi="楷体" w:hint="eastAsia"/>
          <w:spacing w:val="-4"/>
          <w:sz w:val="32"/>
          <w:szCs w:val="32"/>
        </w:rPr>
        <w:br/>
        <w:t>3.评价方法</w:t>
      </w:r>
      <w:r>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Pr>
          <w:rStyle w:val="ad"/>
          <w:rFonts w:ascii="楷体" w:eastAsia="楷体" w:hAnsi="楷体" w:hint="eastAsia"/>
          <w:spacing w:val="-4"/>
          <w:sz w:val="32"/>
          <w:szCs w:val="32"/>
        </w:rPr>
        <w:br/>
        <w:t>4.评价标准</w:t>
      </w:r>
      <w:r>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w:t>
      </w:r>
      <w:r>
        <w:rPr>
          <w:rStyle w:val="ad"/>
          <w:rFonts w:ascii="楷体" w:eastAsia="楷体" w:hAnsi="楷体" w:hint="eastAsia"/>
          <w:spacing w:val="-4"/>
          <w:sz w:val="32"/>
          <w:szCs w:val="32"/>
        </w:rPr>
        <w:lastRenderedPageBreak/>
        <w:t>况与计划情况相比较进行评价。对于没有制定计划目标的指标，则参照历史标准进行评价。</w:t>
      </w:r>
      <w:r>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Pr>
          <w:rStyle w:val="ad"/>
          <w:rFonts w:ascii="楷体" w:eastAsia="楷体" w:hAnsi="楷体" w:hint="eastAsia"/>
          <w:spacing w:val="-4"/>
          <w:sz w:val="32"/>
          <w:szCs w:val="32"/>
        </w:rPr>
        <w:b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rsidR="00102DFF" w:rsidRDefault="0091457F">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r>
        <w:rPr>
          <w:rStyle w:val="ad"/>
          <w:rFonts w:ascii="楷体" w:eastAsia="楷体" w:hAnsi="楷体" w:hint="eastAsia"/>
          <w:spacing w:val="-4"/>
          <w:sz w:val="32"/>
          <w:szCs w:val="32"/>
        </w:rPr>
        <w:br/>
        <w:t>1.前期准备</w:t>
      </w:r>
      <w:r>
        <w:rPr>
          <w:rStyle w:val="ad"/>
          <w:rFonts w:ascii="楷体" w:eastAsia="楷体" w:hAnsi="楷体" w:hint="eastAsia"/>
          <w:spacing w:val="-4"/>
          <w:sz w:val="32"/>
          <w:szCs w:val="32"/>
        </w:rPr>
        <w:br/>
        <w:t>1.1 我单位在收到自评工作任务后及时组织了绩效评价工作小组，马博为组长，主要负责工作安排，俞天武为副组长，主要负责报告的审核、指导，加纳尔组员负责资料、数据整理，编制报告。小组制定了项目评价的工作思路及工作安排，参考学习了相关政策制度、实施方案和相关的工作文件，为评价工作的开展提供工作指引。</w:t>
      </w:r>
      <w:r>
        <w:rPr>
          <w:rStyle w:val="ad"/>
          <w:rFonts w:ascii="楷体" w:eastAsia="楷体" w:hAnsi="楷体" w:hint="eastAsia"/>
          <w:spacing w:val="-4"/>
          <w:sz w:val="32"/>
          <w:szCs w:val="32"/>
        </w:rPr>
        <w:br/>
        <w:t>1.2 评价组通过前期调研确定绩效评价对象和范围，确定了评价的目的、方法以及评价的原则；</w:t>
      </w:r>
      <w:r>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Pr>
          <w:rStyle w:val="ad"/>
          <w:rFonts w:ascii="楷体" w:eastAsia="楷体" w:hAnsi="楷体" w:hint="eastAsia"/>
          <w:spacing w:val="-4"/>
          <w:sz w:val="32"/>
          <w:szCs w:val="32"/>
        </w:rPr>
        <w:br/>
      </w:r>
      <w:r>
        <w:rPr>
          <w:rStyle w:val="ad"/>
          <w:rFonts w:ascii="楷体" w:eastAsia="楷体" w:hAnsi="楷体" w:hint="eastAsia"/>
          <w:spacing w:val="-4"/>
          <w:sz w:val="32"/>
          <w:szCs w:val="32"/>
        </w:rPr>
        <w:lastRenderedPageBreak/>
        <w:t>2.组织实施</w:t>
      </w:r>
      <w:r>
        <w:rPr>
          <w:rStyle w:val="ad"/>
          <w:rFonts w:ascii="楷体" w:eastAsia="楷体" w:hAnsi="楷体" w:hint="eastAsia"/>
          <w:spacing w:val="-4"/>
          <w:sz w:val="32"/>
          <w:szCs w:val="32"/>
        </w:rPr>
        <w:br/>
        <w:t>评价工作进入实施阶段：</w:t>
      </w:r>
      <w:r>
        <w:rPr>
          <w:rStyle w:val="ad"/>
          <w:rFonts w:ascii="楷体" w:eastAsia="楷体" w:hAnsi="楷体" w:hint="eastAsia"/>
          <w:spacing w:val="-4"/>
          <w:sz w:val="32"/>
          <w:szCs w:val="32"/>
        </w:rPr>
        <w:br/>
        <w:t>2.1  评价组收集绩效评价相关数据资料，进行现场调研、座谈；</w:t>
      </w:r>
      <w:r>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Pr>
          <w:rStyle w:val="ad"/>
          <w:rFonts w:ascii="楷体" w:eastAsia="楷体" w:hAnsi="楷体" w:hint="eastAsia"/>
          <w:spacing w:val="-4"/>
          <w:sz w:val="32"/>
          <w:szCs w:val="32"/>
        </w:rPr>
        <w:br/>
        <w:t>3.分析评价：</w:t>
      </w:r>
      <w:r>
        <w:rPr>
          <w:rStyle w:val="ad"/>
          <w:rFonts w:ascii="楷体" w:eastAsia="楷体" w:hAnsi="楷体" w:hint="eastAsia"/>
          <w:spacing w:val="-4"/>
          <w:sz w:val="32"/>
          <w:szCs w:val="32"/>
        </w:rPr>
        <w:br/>
        <w:t>评价组按照绩效评价的原则和规范，对取得的资料进行审查核实，对采集的数据进行分析，按照绩效评价指标评分表逐项进行打分、分析，汇总各方评价结果，综合分析并形成评价结论。</w:t>
      </w:r>
      <w:r>
        <w:rPr>
          <w:rStyle w:val="ad"/>
          <w:rFonts w:ascii="楷体" w:eastAsia="楷体" w:hAnsi="楷体" w:hint="eastAsia"/>
          <w:spacing w:val="-4"/>
          <w:sz w:val="32"/>
          <w:szCs w:val="32"/>
        </w:rPr>
        <w:br/>
        <w:t>4.撰写报告</w:t>
      </w:r>
      <w:r>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Pr>
          <w:rStyle w:val="ad"/>
          <w:rFonts w:ascii="楷体" w:eastAsia="楷体" w:hAnsi="楷体" w:hint="eastAsia"/>
          <w:spacing w:val="-4"/>
          <w:sz w:val="32"/>
          <w:szCs w:val="32"/>
        </w:rPr>
        <w:br/>
        <w:t>5.资料归档</w:t>
      </w:r>
      <w:r>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rsidR="00102DFF" w:rsidRDefault="0091457F">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（一）项目组织情况分析</w:t>
      </w:r>
    </w:p>
    <w:p w:rsidR="00311DBE" w:rsidRDefault="00311DBE" w:rsidP="00311DBE">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三、综合评价情况及评价结论</w:t>
      </w:r>
      <w:r>
        <w:rPr>
          <w:rStyle w:val="ad"/>
          <w:rFonts w:ascii="楷体" w:eastAsia="楷体" w:hAnsi="楷体" w:hint="eastAsia"/>
          <w:spacing w:val="-4"/>
          <w:sz w:val="32"/>
          <w:szCs w:val="32"/>
        </w:rPr>
        <w:br/>
        <w:t>（一）综合评价情况及评价结论</w:t>
      </w:r>
      <w:r>
        <w:rPr>
          <w:rStyle w:val="ad"/>
          <w:rFonts w:ascii="楷体" w:eastAsia="楷体" w:hAnsi="楷体" w:hint="eastAsia"/>
          <w:spacing w:val="-4"/>
          <w:sz w:val="32"/>
          <w:szCs w:val="32"/>
        </w:rPr>
        <w:br/>
        <w:t>木垒县自然资源局主要负责项目实施等工作，财政部门负责资</w:t>
      </w:r>
      <w:r>
        <w:rPr>
          <w:rStyle w:val="ad"/>
          <w:rFonts w:ascii="楷体" w:eastAsia="楷体" w:hAnsi="楷体" w:hint="eastAsia"/>
          <w:spacing w:val="-4"/>
          <w:sz w:val="32"/>
          <w:szCs w:val="32"/>
        </w:rPr>
        <w:lastRenderedPageBreak/>
        <w:t>金拨付等工作，为确保项目顺利实施，我单位将进行责任分工明确。为加强财政支出管理，提高资金使用效益，我单位确保项目管理进度落实到人，项目已全部完成，验收合格。评价小组对本项目的立项、项目绩效目标、资金投入、资金管理、组织实施、产出数量、产出质量、产出时效、产出成本、项目效益进行了综合评价。</w:t>
      </w:r>
      <w:r>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本项目通过制定的评价指标体系及评分标准，运用数据采集、问卷调查及访谈等方式，对本项目绩效进行客观评价，最终评分结果：总分为92分。</w:t>
      </w:r>
      <w:r>
        <w:rPr>
          <w:rStyle w:val="ad"/>
          <w:rFonts w:ascii="楷体" w:eastAsia="楷体" w:hAnsi="楷体" w:hint="eastAsia"/>
          <w:spacing w:val="-4"/>
          <w:sz w:val="32"/>
          <w:szCs w:val="32"/>
        </w:rPr>
        <w:br/>
        <w:t>（二）相关评分表</w:t>
      </w:r>
      <w:r>
        <w:rPr>
          <w:rStyle w:val="ad"/>
          <w:rFonts w:ascii="楷体" w:eastAsia="楷体" w:hAnsi="楷体" w:hint="eastAsia"/>
          <w:spacing w:val="-4"/>
          <w:sz w:val="32"/>
          <w:szCs w:val="32"/>
        </w:rPr>
        <w:br/>
        <w:t>各部分权重和绩效分值如下表所示：（详细评分表见附表）</w:t>
      </w:r>
      <w:r>
        <w:rPr>
          <w:rStyle w:val="ad"/>
          <w:rFonts w:ascii="楷体" w:eastAsia="楷体" w:hAnsi="楷体" w:hint="eastAsia"/>
          <w:spacing w:val="-4"/>
          <w:sz w:val="32"/>
          <w:szCs w:val="32"/>
        </w:rPr>
        <w:br/>
        <w:t>指标 项目决策 项目过程 项目产出 项目效益 合计分值</w:t>
      </w:r>
      <w:r>
        <w:rPr>
          <w:rStyle w:val="ad"/>
          <w:rFonts w:ascii="楷体" w:eastAsia="楷体" w:hAnsi="楷体" w:hint="eastAsia"/>
          <w:spacing w:val="-4"/>
          <w:sz w:val="32"/>
          <w:szCs w:val="32"/>
        </w:rPr>
        <w:br/>
        <w:t>权重 15 15 50 20 100</w:t>
      </w:r>
      <w:r>
        <w:rPr>
          <w:rStyle w:val="ad"/>
          <w:rFonts w:ascii="楷体" w:eastAsia="楷体" w:hAnsi="楷体" w:hint="eastAsia"/>
          <w:spacing w:val="-4"/>
          <w:sz w:val="32"/>
          <w:szCs w:val="32"/>
        </w:rPr>
        <w:br/>
        <w:t>分值 15 14 45 18 92</w:t>
      </w:r>
    </w:p>
    <w:p w:rsidR="00102DFF" w:rsidRDefault="0091457F">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（二）项目管理情况分析</w:t>
      </w:r>
    </w:p>
    <w:p w:rsidR="00311DBE" w:rsidRDefault="00311DBE" w:rsidP="00311DBE">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（一）项目决策情况</w:t>
      </w:r>
      <w:r>
        <w:rPr>
          <w:rStyle w:val="ad"/>
          <w:rFonts w:ascii="楷体" w:eastAsia="楷体" w:hAnsi="楷体" w:hint="eastAsia"/>
          <w:spacing w:val="-4"/>
          <w:sz w:val="32"/>
          <w:szCs w:val="32"/>
        </w:rPr>
        <w:br/>
        <w:t>1、立项依据充分性</w:t>
      </w:r>
      <w:r>
        <w:rPr>
          <w:rStyle w:val="ad"/>
          <w:rFonts w:ascii="楷体" w:eastAsia="楷体" w:hAnsi="楷体" w:hint="eastAsia"/>
          <w:spacing w:val="-4"/>
          <w:sz w:val="32"/>
          <w:szCs w:val="32"/>
        </w:rPr>
        <w:br/>
        <w:t>1.《关于印发新疆维吾尔自治区实施河长制工作方案的    通知》（新党厅字〔2017〕71号）</w:t>
      </w:r>
      <w:r>
        <w:rPr>
          <w:rStyle w:val="ad"/>
          <w:rFonts w:ascii="楷体" w:eastAsia="楷体" w:hAnsi="楷体" w:hint="eastAsia"/>
          <w:spacing w:val="-4"/>
          <w:sz w:val="32"/>
          <w:szCs w:val="32"/>
        </w:rPr>
        <w:br/>
        <w:t>2.《关于印发新疆维吾尔自治区落实湖长制实施方案的通知》（新党厅字〔2018〕28号）</w:t>
      </w:r>
      <w:r>
        <w:rPr>
          <w:rStyle w:val="ad"/>
          <w:rFonts w:ascii="楷体" w:eastAsia="楷体" w:hAnsi="楷体" w:hint="eastAsia"/>
          <w:spacing w:val="-4"/>
          <w:sz w:val="32"/>
          <w:szCs w:val="32"/>
        </w:rPr>
        <w:br/>
        <w:t>3.《关于印发新疆维吾尔自治区河湖水域岸线管理和保护范围划定工作方案的通知》（新政办发〔2018〕149号）2、立项程序规范性</w:t>
      </w:r>
      <w:r>
        <w:rPr>
          <w:rStyle w:val="ad"/>
          <w:rFonts w:ascii="楷体" w:eastAsia="楷体" w:hAnsi="楷体" w:hint="eastAsia"/>
          <w:spacing w:val="-4"/>
          <w:sz w:val="32"/>
          <w:szCs w:val="32"/>
        </w:rPr>
        <w:br/>
        <w:t>①项目立项程序：提报项目建议书、申请立项过程等均按照立</w:t>
      </w:r>
      <w:r>
        <w:rPr>
          <w:rStyle w:val="ad"/>
          <w:rFonts w:ascii="楷体" w:eastAsia="楷体" w:hAnsi="楷体" w:hint="eastAsia"/>
          <w:spacing w:val="-4"/>
          <w:sz w:val="32"/>
          <w:szCs w:val="32"/>
        </w:rPr>
        <w:lastRenderedPageBreak/>
        <w:t>项程序的相关规定进行；</w:t>
      </w:r>
      <w:r>
        <w:rPr>
          <w:rStyle w:val="ad"/>
          <w:rFonts w:ascii="楷体" w:eastAsia="楷体" w:hAnsi="楷体" w:hint="eastAsia"/>
          <w:spacing w:val="-4"/>
          <w:sz w:val="32"/>
          <w:szCs w:val="32"/>
        </w:rPr>
        <w:br/>
        <w:t>②审批文件、材料：本项目审批文件有：木县政阅[2020]36号《木垒哈萨克自治县第十七届人民政府县长办公会议纪要》，审批文件及材料齐全；</w:t>
      </w:r>
      <w:r>
        <w:rPr>
          <w:rStyle w:val="ad"/>
          <w:rFonts w:ascii="楷体" w:eastAsia="楷体" w:hAnsi="楷体" w:hint="eastAsia"/>
          <w:spacing w:val="-4"/>
          <w:sz w:val="32"/>
          <w:szCs w:val="32"/>
        </w:rPr>
        <w:br/>
        <w:t>③项目事前工作：本项目已经过必要的可行性研究、专家论证、风险评估、绩效评估、集体决策。</w:t>
      </w:r>
      <w:r>
        <w:rPr>
          <w:rStyle w:val="ad"/>
          <w:rFonts w:ascii="楷体" w:eastAsia="楷体" w:hAnsi="楷体" w:hint="eastAsia"/>
          <w:spacing w:val="-4"/>
          <w:sz w:val="32"/>
          <w:szCs w:val="32"/>
        </w:rPr>
        <w:br/>
        <w:t>3、绩效目标合理性</w:t>
      </w:r>
      <w:r>
        <w:rPr>
          <w:rStyle w:val="ad"/>
          <w:rFonts w:ascii="楷体" w:eastAsia="楷体" w:hAnsi="楷体" w:hint="eastAsia"/>
          <w:spacing w:val="-4"/>
          <w:sz w:val="32"/>
          <w:szCs w:val="32"/>
        </w:rPr>
        <w:br/>
        <w:t>木垒县河湖水域岸线和水利工程划界确权工作设立了项目绩效目标，与河湖水域岸线和水利工程划界确权具有相关性，项目的预期产出效益和效果也均能符合正常的业绩水平，并且与预算确定的项目投资额或资金量相匹配。</w:t>
      </w:r>
      <w:r>
        <w:rPr>
          <w:rStyle w:val="ad"/>
          <w:rFonts w:ascii="楷体" w:eastAsia="楷体" w:hAnsi="楷体" w:hint="eastAsia"/>
          <w:spacing w:val="-4"/>
          <w:sz w:val="32"/>
          <w:szCs w:val="32"/>
        </w:rPr>
        <w:br/>
        <w:t>4、绩效指标明确性</w:t>
      </w:r>
      <w:r>
        <w:rPr>
          <w:rStyle w:val="ad"/>
          <w:rFonts w:ascii="楷体" w:eastAsia="楷体" w:hAnsi="楷体" w:hint="eastAsia"/>
          <w:spacing w:val="-4"/>
          <w:sz w:val="32"/>
          <w:szCs w:val="32"/>
        </w:rPr>
        <w:br/>
        <w:t>木垒县河湖水域岸线和水利工程划界确权工作将项目绩效目标细化分解为具体的绩效指标，一级指标共3条，二级指标共8条，三级指标共12条，所有绩效指标均通过清晰、可衡量的指标值予以体现，并且做到了与项目目标任务数或计划数相对应。</w:t>
      </w:r>
      <w:r>
        <w:rPr>
          <w:rStyle w:val="ad"/>
          <w:rFonts w:ascii="楷体" w:eastAsia="楷体" w:hAnsi="楷体" w:hint="eastAsia"/>
          <w:spacing w:val="-4"/>
          <w:sz w:val="32"/>
          <w:szCs w:val="32"/>
        </w:rPr>
        <w:br/>
        <w:t>5、预算编制科学性</w:t>
      </w:r>
      <w:r>
        <w:rPr>
          <w:rStyle w:val="ad"/>
          <w:rFonts w:ascii="楷体" w:eastAsia="楷体" w:hAnsi="楷体" w:hint="eastAsia"/>
          <w:spacing w:val="-4"/>
          <w:sz w:val="32"/>
          <w:szCs w:val="32"/>
        </w:rPr>
        <w:br/>
        <w:t xml:space="preserve">  本项目建设内容及工程量严格按照《建设工程工程量清单计价规范》（GB50500-2013）规定计算，项目预算编制根据项目建设内容进行计算，预算数经过专家论证确定，预算内容与项目内容无偏差，预算额度测算依据充分，项目投资额与工作任务匹配性100%，不存在偏差性。</w:t>
      </w:r>
      <w:r>
        <w:rPr>
          <w:rStyle w:val="ad"/>
          <w:rFonts w:ascii="楷体" w:eastAsia="楷体" w:hAnsi="楷体" w:hint="eastAsia"/>
          <w:spacing w:val="-4"/>
          <w:sz w:val="32"/>
          <w:szCs w:val="32"/>
        </w:rPr>
        <w:br/>
        <w:t>6、资金分配合理性</w:t>
      </w:r>
      <w:r>
        <w:rPr>
          <w:rStyle w:val="ad"/>
          <w:rFonts w:ascii="楷体" w:eastAsia="楷体" w:hAnsi="楷体" w:hint="eastAsia"/>
          <w:spacing w:val="-4"/>
          <w:sz w:val="32"/>
          <w:szCs w:val="32"/>
        </w:rPr>
        <w:br/>
        <w:t xml:space="preserve"> 本项目预算资金分配依据木财预字(2020)182号，项目资金分配额度无偏低或偏高情况，分配额度合理。项目单位为木垒县</w:t>
      </w:r>
      <w:r>
        <w:rPr>
          <w:rStyle w:val="ad"/>
          <w:rFonts w:ascii="楷体" w:eastAsia="楷体" w:hAnsi="楷体" w:hint="eastAsia"/>
          <w:spacing w:val="-4"/>
          <w:sz w:val="32"/>
          <w:szCs w:val="32"/>
        </w:rPr>
        <w:lastRenderedPageBreak/>
        <w:t>自然资源局，单位位于木垒县，资金分配与单位实际相适应。</w:t>
      </w:r>
    </w:p>
    <w:p w:rsidR="00102DFF" w:rsidRDefault="0091457F">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四、项目绩效情况</w:t>
      </w:r>
      <w:r>
        <w:rPr>
          <w:rStyle w:val="ad"/>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（二）项目过程情况</w:t>
      </w:r>
      <w:r>
        <w:rPr>
          <w:rStyle w:val="ad"/>
          <w:rFonts w:ascii="楷体" w:eastAsia="楷体" w:hAnsi="楷体" w:hint="eastAsia"/>
          <w:spacing w:val="-4"/>
          <w:sz w:val="32"/>
          <w:szCs w:val="32"/>
        </w:rPr>
        <w:br/>
        <w:t>1、资金到位率：</w:t>
      </w:r>
      <w:r>
        <w:rPr>
          <w:rStyle w:val="ad"/>
          <w:rFonts w:ascii="楷体" w:eastAsia="楷体" w:hAnsi="楷体" w:hint="eastAsia"/>
          <w:spacing w:val="-4"/>
          <w:sz w:val="32"/>
          <w:szCs w:val="32"/>
        </w:rPr>
        <w:br/>
        <w:t>实际到位资金30万元，预算资金30万元，资金到位率100%。</w:t>
      </w:r>
      <w:r>
        <w:rPr>
          <w:rStyle w:val="ad"/>
          <w:rFonts w:ascii="楷体" w:eastAsia="楷体" w:hAnsi="楷体" w:hint="eastAsia"/>
          <w:spacing w:val="-4"/>
          <w:sz w:val="32"/>
          <w:szCs w:val="32"/>
        </w:rPr>
        <w:br/>
        <w:t>2、预算执行率</w:t>
      </w:r>
      <w:r>
        <w:rPr>
          <w:rStyle w:val="ad"/>
          <w:rFonts w:ascii="楷体" w:eastAsia="楷体" w:hAnsi="楷体" w:hint="eastAsia"/>
          <w:spacing w:val="-4"/>
          <w:sz w:val="32"/>
          <w:szCs w:val="32"/>
        </w:rPr>
        <w:br/>
        <w:t>年初预算数30万元，全年预算数30万元，全年执行数30万元，预算执行率为100%。</w:t>
      </w:r>
      <w:r>
        <w:rPr>
          <w:rStyle w:val="ad"/>
          <w:rFonts w:ascii="楷体" w:eastAsia="楷体" w:hAnsi="楷体" w:hint="eastAsia"/>
          <w:spacing w:val="-4"/>
          <w:sz w:val="32"/>
          <w:szCs w:val="32"/>
        </w:rPr>
        <w:br/>
        <w:t>3、资金使用合规性</w:t>
      </w:r>
      <w:r>
        <w:rPr>
          <w:rStyle w:val="ad"/>
          <w:rFonts w:ascii="楷体" w:eastAsia="楷体" w:hAnsi="楷体" w:hint="eastAsia"/>
          <w:spacing w:val="-4"/>
          <w:sz w:val="32"/>
          <w:szCs w:val="32"/>
        </w:rPr>
        <w:br/>
        <w:t>3.1 资金使用符合、财务管理制度以及有关专项资金管理办法的规定；</w:t>
      </w:r>
      <w:r>
        <w:rPr>
          <w:rStyle w:val="ad"/>
          <w:rFonts w:ascii="楷体" w:eastAsia="楷体" w:hAnsi="楷体" w:hint="eastAsia"/>
          <w:spacing w:val="-4"/>
          <w:sz w:val="32"/>
          <w:szCs w:val="32"/>
        </w:rPr>
        <w:br/>
        <w:t>3.2 资金的拨付严格按照木垒县自然资源局单位资金拨付审批程序进行：由业务科科室提交分管领导申请到主管领导，经审批后提交到木垒县财政局。项目资金拨付手续齐全，资金拨付手续有：资金申请报告、国库集中支付凭证。</w:t>
      </w:r>
      <w:r>
        <w:rPr>
          <w:rStyle w:val="ad"/>
          <w:rFonts w:ascii="楷体" w:eastAsia="楷体" w:hAnsi="楷体" w:hint="eastAsia"/>
          <w:spacing w:val="-4"/>
          <w:sz w:val="32"/>
          <w:szCs w:val="32"/>
        </w:rPr>
        <w:br/>
        <w:t>3.3 本项目资金合同规定的用途为：木垒县河湖水域岸线合水利工程划界确权，符合项目预算批复及合同规定的用途；</w:t>
      </w:r>
      <w:r>
        <w:rPr>
          <w:rStyle w:val="ad"/>
          <w:rFonts w:ascii="楷体" w:eastAsia="楷体" w:hAnsi="楷体" w:hint="eastAsia"/>
          <w:spacing w:val="-4"/>
          <w:sz w:val="32"/>
          <w:szCs w:val="32"/>
        </w:rPr>
        <w:br/>
        <w:t>3.4 项目资金截至2022年6月30日已拨付至100%，过程不存在截留、挤占、挪用、虚列支出等情况。</w:t>
      </w:r>
      <w:r>
        <w:rPr>
          <w:rStyle w:val="ad"/>
          <w:rFonts w:ascii="楷体" w:eastAsia="楷体" w:hAnsi="楷体" w:hint="eastAsia"/>
          <w:spacing w:val="-4"/>
          <w:sz w:val="32"/>
          <w:szCs w:val="32"/>
        </w:rPr>
        <w:br/>
        <w:t>4、管理制度健全性</w:t>
      </w:r>
      <w:r>
        <w:rPr>
          <w:rStyle w:val="ad"/>
          <w:rFonts w:ascii="楷体" w:eastAsia="楷体" w:hAnsi="楷体" w:hint="eastAsia"/>
          <w:spacing w:val="-4"/>
          <w:sz w:val="32"/>
          <w:szCs w:val="32"/>
        </w:rPr>
        <w:br/>
        <w:t>4.1 本项目已制定《木垒县自然资源局木垒县河湖水域岸线和水利工程划界确权工作财务管理制度》、《木垒县自然资源局木垒县河湖水域岸线和水利工程划界确权工作业务管理制度》，管理制度健全；</w:t>
      </w:r>
      <w:r>
        <w:rPr>
          <w:rStyle w:val="ad"/>
          <w:rFonts w:ascii="楷体" w:eastAsia="楷体" w:hAnsi="楷体" w:hint="eastAsia"/>
          <w:spacing w:val="-4"/>
          <w:sz w:val="32"/>
          <w:szCs w:val="32"/>
        </w:rPr>
        <w:br/>
      </w:r>
      <w:r>
        <w:rPr>
          <w:rStyle w:val="ad"/>
          <w:rFonts w:ascii="楷体" w:eastAsia="楷体" w:hAnsi="楷体" w:hint="eastAsia"/>
          <w:spacing w:val="-4"/>
          <w:sz w:val="32"/>
          <w:szCs w:val="32"/>
        </w:rPr>
        <w:lastRenderedPageBreak/>
        <w:t>4.2 本项目财务及业务管理制度符合《中华人民共和国政府采购法》、《中华人民共和国会计法》等相关法律法规，财务和业务管理制度已经过木垒县有关部门审批通过，确保了各项制度的合法合规性及完整性。</w:t>
      </w:r>
      <w:r>
        <w:rPr>
          <w:rStyle w:val="ad"/>
          <w:rFonts w:ascii="楷体" w:eastAsia="楷体" w:hAnsi="楷体" w:hint="eastAsia"/>
          <w:spacing w:val="-4"/>
          <w:sz w:val="32"/>
          <w:szCs w:val="32"/>
        </w:rPr>
        <w:br/>
        <w:t>5、制度执行有效性</w:t>
      </w:r>
      <w:r>
        <w:rPr>
          <w:rStyle w:val="ad"/>
          <w:rFonts w:ascii="楷体" w:eastAsia="楷体" w:hAnsi="楷体" w:hint="eastAsia"/>
          <w:spacing w:val="-4"/>
          <w:sz w:val="32"/>
          <w:szCs w:val="32"/>
        </w:rPr>
        <w:br/>
        <w:t xml:space="preserve">    5.1 项目的审批、招标、建设、验收过程均遵守相关法律法规和相关管理规定；</w:t>
      </w:r>
      <w:r>
        <w:rPr>
          <w:rStyle w:val="ad"/>
          <w:rFonts w:ascii="楷体" w:eastAsia="楷体" w:hAnsi="楷体" w:hint="eastAsia"/>
          <w:spacing w:val="-4"/>
          <w:sz w:val="32"/>
          <w:szCs w:val="32"/>
        </w:rPr>
        <w:br/>
        <w:t>5.2 本项目无调整情况。</w:t>
      </w:r>
      <w:r>
        <w:rPr>
          <w:rStyle w:val="ad"/>
          <w:rFonts w:ascii="楷体" w:eastAsia="楷体" w:hAnsi="楷体" w:hint="eastAsia"/>
          <w:spacing w:val="-4"/>
          <w:sz w:val="32"/>
          <w:szCs w:val="32"/>
        </w:rPr>
        <w:br/>
        <w:t>5.3 项目合同书、验收报告、技术鉴定等资料齐全并已及时归档，档案编号：hhsy001；</w:t>
      </w:r>
      <w:r>
        <w:rPr>
          <w:rStyle w:val="ad"/>
          <w:rFonts w:ascii="楷体" w:eastAsia="楷体" w:hAnsi="楷体" w:hint="eastAsia"/>
          <w:spacing w:val="-4"/>
          <w:sz w:val="32"/>
          <w:szCs w:val="32"/>
        </w:rPr>
        <w:br/>
        <w:t>5.4 项目实施的人员条件、场地设备、信息支撑等均已落实到位。</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（三）项目产出情况</w:t>
      </w:r>
      <w:r>
        <w:rPr>
          <w:rStyle w:val="ad"/>
          <w:rFonts w:ascii="楷体" w:eastAsia="楷体" w:hAnsi="楷体" w:hint="eastAsia"/>
          <w:spacing w:val="-4"/>
          <w:sz w:val="32"/>
          <w:szCs w:val="32"/>
        </w:rPr>
        <w:br/>
        <w:t>我单位木垒县河湖水域岸线和水利工程划界确权工作截止到2021年12月31日，已完成100%；其中：</w:t>
      </w:r>
      <w:r>
        <w:rPr>
          <w:rStyle w:val="ad"/>
          <w:rFonts w:ascii="楷体" w:eastAsia="楷体" w:hAnsi="楷体" w:hint="eastAsia"/>
          <w:spacing w:val="-4"/>
          <w:sz w:val="32"/>
          <w:szCs w:val="32"/>
        </w:rPr>
        <w:br/>
      </w:r>
      <w:r>
        <w:rPr>
          <w:rStyle w:val="ad"/>
          <w:rFonts w:ascii="楷体" w:eastAsia="楷体" w:hAnsi="楷体" w:hint="eastAsia"/>
          <w:spacing w:val="-4"/>
          <w:sz w:val="32"/>
          <w:szCs w:val="32"/>
        </w:rPr>
        <w:br/>
        <w:t>1.项目完成数量</w:t>
      </w:r>
      <w:r>
        <w:rPr>
          <w:rStyle w:val="ad"/>
          <w:rFonts w:ascii="楷体" w:eastAsia="楷体" w:hAnsi="楷体" w:hint="eastAsia"/>
          <w:spacing w:val="-4"/>
          <w:sz w:val="32"/>
          <w:szCs w:val="32"/>
        </w:rPr>
        <w:br/>
        <w:t>指标1：确权种类，指标值：≥7种，实际完成值7种，指标完成率100%；</w:t>
      </w:r>
      <w:r>
        <w:rPr>
          <w:rStyle w:val="ad"/>
          <w:rFonts w:ascii="楷体" w:eastAsia="楷体" w:hAnsi="楷体" w:hint="eastAsia"/>
          <w:spacing w:val="-4"/>
          <w:sz w:val="32"/>
          <w:szCs w:val="32"/>
        </w:rPr>
        <w:br/>
        <w:t>指标2：界标数量，指标值：≥100个，实际完成值100个，指标完成率100%。</w:t>
      </w:r>
      <w:r>
        <w:rPr>
          <w:rStyle w:val="ad"/>
          <w:rFonts w:ascii="楷体" w:eastAsia="楷体" w:hAnsi="楷体" w:hint="eastAsia"/>
          <w:spacing w:val="-4"/>
          <w:sz w:val="32"/>
          <w:szCs w:val="32"/>
        </w:rPr>
        <w:br/>
        <w:t>指标3：保护牌数量，指标值：≥90个，实际完成值90个，指标完成率100 %。</w:t>
      </w:r>
      <w:r>
        <w:rPr>
          <w:rStyle w:val="ad"/>
          <w:rFonts w:ascii="楷体" w:eastAsia="楷体" w:hAnsi="楷体" w:hint="eastAsia"/>
          <w:spacing w:val="-4"/>
          <w:sz w:val="32"/>
          <w:szCs w:val="32"/>
        </w:rPr>
        <w:br/>
        <w:t>2、项目完成质量：</w:t>
      </w:r>
      <w:r>
        <w:rPr>
          <w:rStyle w:val="ad"/>
          <w:rFonts w:ascii="楷体" w:eastAsia="楷体" w:hAnsi="楷体" w:hint="eastAsia"/>
          <w:spacing w:val="-4"/>
          <w:sz w:val="32"/>
          <w:szCs w:val="32"/>
        </w:rPr>
        <w:br/>
      </w:r>
      <w:r>
        <w:rPr>
          <w:rStyle w:val="ad"/>
          <w:rFonts w:ascii="楷体" w:eastAsia="楷体" w:hAnsi="楷体" w:hint="eastAsia"/>
          <w:spacing w:val="-4"/>
          <w:sz w:val="32"/>
          <w:szCs w:val="32"/>
        </w:rPr>
        <w:lastRenderedPageBreak/>
        <w:t>指标1：确权登记率，指标值：≥100%，实际完成值100%，指标完成率100%；</w:t>
      </w:r>
      <w:r>
        <w:rPr>
          <w:rStyle w:val="ad"/>
          <w:rFonts w:ascii="楷体" w:eastAsia="楷体" w:hAnsi="楷体" w:hint="eastAsia"/>
          <w:spacing w:val="-4"/>
          <w:sz w:val="32"/>
          <w:szCs w:val="32"/>
        </w:rPr>
        <w:br/>
        <w:t>指标2：确权登记准确率，指标值：≥100%，实际完成值100%，指标完成率100%。</w:t>
      </w:r>
      <w:r>
        <w:rPr>
          <w:rStyle w:val="ad"/>
          <w:rFonts w:ascii="楷体" w:eastAsia="楷体" w:hAnsi="楷体" w:hint="eastAsia"/>
          <w:spacing w:val="-4"/>
          <w:sz w:val="32"/>
          <w:szCs w:val="32"/>
        </w:rPr>
        <w:br/>
        <w:t>3、项目完成时效</w:t>
      </w:r>
      <w:r>
        <w:rPr>
          <w:rStyle w:val="ad"/>
          <w:rFonts w:ascii="楷体" w:eastAsia="楷体" w:hAnsi="楷体" w:hint="eastAsia"/>
          <w:spacing w:val="-4"/>
          <w:sz w:val="32"/>
          <w:szCs w:val="32"/>
        </w:rPr>
        <w:br/>
        <w:t>指标1：确权完成时间，指标值：2020年12月30日，实际完成值2020年12月30日，指标完成率100%；</w:t>
      </w:r>
      <w:r>
        <w:rPr>
          <w:rStyle w:val="ad"/>
          <w:rFonts w:ascii="楷体" w:eastAsia="楷体" w:hAnsi="楷体" w:hint="eastAsia"/>
          <w:spacing w:val="-4"/>
          <w:sz w:val="32"/>
          <w:szCs w:val="32"/>
        </w:rPr>
        <w:br/>
        <w:t>4、项目完成成本</w:t>
      </w:r>
      <w:r>
        <w:rPr>
          <w:rStyle w:val="ad"/>
          <w:rFonts w:ascii="楷体" w:eastAsia="楷体" w:hAnsi="楷体" w:hint="eastAsia"/>
          <w:spacing w:val="-4"/>
          <w:sz w:val="32"/>
          <w:szCs w:val="32"/>
        </w:rPr>
        <w:br/>
        <w:t>指标1：资金投入，指标值：≤30万，实际完成值30万，指标完成率100%。</w:t>
      </w:r>
    </w:p>
    <w:p w:rsidR="00102DFF" w:rsidRDefault="0091457F">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（四）项目效益情况</w:t>
      </w:r>
      <w:r>
        <w:rPr>
          <w:rStyle w:val="ad"/>
          <w:rFonts w:ascii="楷体" w:eastAsia="楷体" w:hAnsi="楷体" w:hint="eastAsia"/>
          <w:spacing w:val="-4"/>
          <w:sz w:val="32"/>
          <w:szCs w:val="32"/>
        </w:rPr>
        <w:br/>
        <w:t>我单位木垒县河湖水域岸线和水利工程划界确权工作截止到2021年12月31日，已完成100%；其中：</w:t>
      </w:r>
      <w:r>
        <w:rPr>
          <w:rStyle w:val="ad"/>
          <w:rFonts w:ascii="楷体" w:eastAsia="楷体" w:hAnsi="楷体" w:hint="eastAsia"/>
          <w:spacing w:val="-4"/>
          <w:sz w:val="32"/>
          <w:szCs w:val="32"/>
        </w:rPr>
        <w:br/>
        <w:t>1.项目实施的社会效益分析</w:t>
      </w:r>
      <w:r>
        <w:rPr>
          <w:rStyle w:val="ad"/>
          <w:rFonts w:ascii="楷体" w:eastAsia="楷体" w:hAnsi="楷体" w:hint="eastAsia"/>
          <w:spacing w:val="-4"/>
          <w:sz w:val="32"/>
          <w:szCs w:val="32"/>
        </w:rPr>
        <w:br/>
        <w:t>指标1：河湖水域岸线空间坐标划定率，指标值=100%，实际完成值100%，指标完成率100%。</w:t>
      </w:r>
      <w:r>
        <w:rPr>
          <w:rStyle w:val="ad"/>
          <w:rFonts w:ascii="楷体" w:eastAsia="楷体" w:hAnsi="楷体" w:hint="eastAsia"/>
          <w:spacing w:val="-4"/>
          <w:sz w:val="32"/>
          <w:szCs w:val="32"/>
        </w:rPr>
        <w:br/>
        <w:t>2.项目实施的生态效益分析</w:t>
      </w:r>
      <w:r>
        <w:rPr>
          <w:rStyle w:val="ad"/>
          <w:rFonts w:ascii="楷体" w:eastAsia="楷体" w:hAnsi="楷体" w:hint="eastAsia"/>
          <w:spacing w:val="-4"/>
          <w:sz w:val="32"/>
          <w:szCs w:val="32"/>
        </w:rPr>
        <w:br/>
        <w:t>指标1：水资源保护率，指标值=100%，实际完成值100%，指标完成率100%。</w:t>
      </w:r>
      <w:r>
        <w:rPr>
          <w:rStyle w:val="ad"/>
          <w:rFonts w:ascii="楷体" w:eastAsia="楷体" w:hAnsi="楷体" w:hint="eastAsia"/>
          <w:spacing w:val="-4"/>
          <w:sz w:val="32"/>
          <w:szCs w:val="32"/>
        </w:rPr>
        <w:br/>
        <w:t>3.项目实施的可持续影响分析</w:t>
      </w:r>
      <w:r>
        <w:rPr>
          <w:rStyle w:val="ad"/>
          <w:rFonts w:ascii="楷体" w:eastAsia="楷体" w:hAnsi="楷体" w:hint="eastAsia"/>
          <w:spacing w:val="-4"/>
          <w:sz w:val="32"/>
          <w:szCs w:val="32"/>
        </w:rPr>
        <w:br/>
        <w:t>指标1：水利工程管理和保护覆盖率，指标值=100%，实际完成值100%，指标完成率100%。</w:t>
      </w:r>
      <w:r>
        <w:rPr>
          <w:rStyle w:val="ad"/>
          <w:rFonts w:ascii="楷体" w:eastAsia="楷体" w:hAnsi="楷体" w:hint="eastAsia"/>
          <w:spacing w:val="-4"/>
          <w:sz w:val="32"/>
          <w:szCs w:val="32"/>
        </w:rPr>
        <w:br/>
        <w:t>（五）满意度指标完成情况分析</w:t>
      </w:r>
      <w:r>
        <w:rPr>
          <w:rStyle w:val="ad"/>
          <w:rFonts w:ascii="楷体" w:eastAsia="楷体" w:hAnsi="楷体" w:hint="eastAsia"/>
          <w:spacing w:val="-4"/>
          <w:sz w:val="32"/>
          <w:szCs w:val="32"/>
        </w:rPr>
        <w:br/>
      </w:r>
      <w:r>
        <w:rPr>
          <w:rStyle w:val="ad"/>
          <w:rFonts w:ascii="楷体" w:eastAsia="楷体" w:hAnsi="楷体" w:hint="eastAsia"/>
          <w:spacing w:val="-4"/>
          <w:sz w:val="32"/>
          <w:szCs w:val="32"/>
        </w:rPr>
        <w:lastRenderedPageBreak/>
        <w:t>指标1：领证单位满意度，指标值≥95%，实际完成值100%，指标完成率100%。</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d"/>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（一）预算执行进度</w:t>
      </w:r>
      <w:r>
        <w:rPr>
          <w:rStyle w:val="ad"/>
          <w:rFonts w:ascii="楷体" w:eastAsia="楷体" w:hAnsi="楷体" w:hint="eastAsia"/>
          <w:spacing w:val="-4"/>
          <w:sz w:val="32"/>
          <w:szCs w:val="32"/>
        </w:rPr>
        <w:br/>
        <w:t xml:space="preserve">    根据木垒县河湖水域岸线和水利工程划界确权工作合同内容及工程进度，木垒县自然资源局于2022年6月30日拨付30万元至新疆疆海测绘院，截至2022年6月30日已执行30万元，预算执行率100%。</w:t>
      </w:r>
      <w:r>
        <w:rPr>
          <w:rStyle w:val="ad"/>
          <w:rFonts w:ascii="楷体" w:eastAsia="楷体" w:hAnsi="楷体" w:hint="eastAsia"/>
          <w:spacing w:val="-4"/>
          <w:sz w:val="32"/>
          <w:szCs w:val="32"/>
        </w:rPr>
        <w:br/>
        <w:t>（二）绩效指标偏差</w:t>
      </w:r>
      <w:r>
        <w:rPr>
          <w:rStyle w:val="ad"/>
          <w:rFonts w:ascii="楷体" w:eastAsia="楷体" w:hAnsi="楷体" w:hint="eastAsia"/>
          <w:spacing w:val="-4"/>
          <w:sz w:val="32"/>
          <w:szCs w:val="32"/>
        </w:rPr>
        <w:br/>
        <w:t xml:space="preserve">      本项目绩效指标无偏差情况。</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（一）主要经验及做法</w:t>
      </w:r>
      <w:r>
        <w:rPr>
          <w:rStyle w:val="ad"/>
          <w:rFonts w:ascii="楷体" w:eastAsia="楷体" w:hAnsi="楷体" w:hint="eastAsia"/>
          <w:spacing w:val="-4"/>
          <w:sz w:val="32"/>
          <w:szCs w:val="32"/>
        </w:rPr>
        <w:br/>
        <w:t>（1）是领导高度重视。专项资金预算下拨后，主要领导和分管领导高度重视，落实责任分工，确保项目顺利进行。</w:t>
      </w:r>
      <w:r>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Pr>
          <w:rStyle w:val="ad"/>
          <w:rFonts w:ascii="楷体" w:eastAsia="楷体" w:hAnsi="楷体" w:hint="eastAsia"/>
          <w:spacing w:val="-4"/>
          <w:sz w:val="32"/>
          <w:szCs w:val="32"/>
        </w:rPr>
        <w:br/>
      </w:r>
      <w:r>
        <w:rPr>
          <w:rStyle w:val="ad"/>
          <w:rFonts w:ascii="楷体" w:eastAsia="楷体" w:hAnsi="楷体" w:hint="eastAsia"/>
          <w:spacing w:val="-4"/>
          <w:sz w:val="32"/>
          <w:szCs w:val="32"/>
        </w:rPr>
        <w:lastRenderedPageBreak/>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r>
      <w:r>
        <w:rPr>
          <w:rStyle w:val="ad"/>
          <w:rFonts w:ascii="楷体" w:eastAsia="楷体" w:hAnsi="楷体" w:hint="eastAsia"/>
          <w:spacing w:val="-4"/>
          <w:sz w:val="32"/>
          <w:szCs w:val="32"/>
        </w:rPr>
        <w:br/>
        <w:t>（6）明确标准，依法划界。根据工程所处的具体位置，按照既有利于工程安全运行和效益发挥，又保持稳定的原则，参考原有设计及利用现状界定范围，使得我县的划界工作能够稳步进行，顺利开展。确权划界工作完成后依法办理了土地使用证，建立了管理档案。档案的内容包括工程管护范围划定情况纪实、管护范围划定的依据及组织领导、有关协议书和证明材料、土地登记申请书、土地登记表、管护范围平面图与界址位置、土地使用证书等。同时管理单位制定管理规章制度，巩固确权划界成果，规范了灌区管理工作。</w:t>
      </w:r>
      <w:r>
        <w:rPr>
          <w:rStyle w:val="ad"/>
          <w:rFonts w:ascii="楷体" w:eastAsia="楷体" w:hAnsi="楷体" w:hint="eastAsia"/>
          <w:spacing w:val="-4"/>
          <w:sz w:val="32"/>
          <w:szCs w:val="32"/>
        </w:rPr>
        <w:br/>
        <w:t>2、后续工作计划</w:t>
      </w:r>
      <w:r>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d"/>
          <w:rFonts w:ascii="仿宋" w:eastAsia="仿宋" w:hAnsi="仿宋"/>
          <w:b w:val="0"/>
          <w:spacing w:val="-4"/>
          <w:sz w:val="32"/>
          <w:szCs w:val="32"/>
        </w:rPr>
      </w:pPr>
    </w:p>
    <w:p w:rsidR="00102DFF" w:rsidRDefault="00102DFF">
      <w:pPr>
        <w:spacing w:line="540" w:lineRule="exact"/>
        <w:ind w:firstLine="567"/>
        <w:rPr>
          <w:rStyle w:val="ad"/>
          <w:rFonts w:ascii="仿宋" w:eastAsia="仿宋" w:hAnsi="仿宋"/>
          <w:b w:val="0"/>
          <w:spacing w:val="-4"/>
          <w:sz w:val="32"/>
          <w:szCs w:val="32"/>
        </w:rPr>
      </w:pPr>
    </w:p>
    <w:p w:rsidR="00102DFF" w:rsidRDefault="00102DFF">
      <w:pPr>
        <w:spacing w:line="540" w:lineRule="exact"/>
        <w:ind w:firstLine="567"/>
        <w:rPr>
          <w:rStyle w:val="ad"/>
          <w:rFonts w:ascii="仿宋" w:eastAsia="仿宋" w:hAnsi="仿宋"/>
          <w:b w:val="0"/>
          <w:spacing w:val="-4"/>
          <w:sz w:val="32"/>
          <w:szCs w:val="32"/>
        </w:rPr>
      </w:pPr>
    </w:p>
    <w:p w:rsidR="00102DFF" w:rsidRDefault="00102DFF">
      <w:pPr>
        <w:spacing w:line="540" w:lineRule="exact"/>
        <w:ind w:firstLine="567"/>
        <w:rPr>
          <w:rStyle w:val="ad"/>
          <w:rFonts w:ascii="仿宋" w:eastAsia="仿宋" w:hAnsi="仿宋"/>
          <w:b w:val="0"/>
          <w:spacing w:val="-4"/>
          <w:sz w:val="32"/>
          <w:szCs w:val="32"/>
        </w:rPr>
      </w:pPr>
    </w:p>
    <w:p w:rsidR="00102DFF" w:rsidRDefault="00102DFF">
      <w:pPr>
        <w:spacing w:line="540" w:lineRule="exact"/>
        <w:ind w:firstLine="567"/>
        <w:rPr>
          <w:rStyle w:val="ad"/>
          <w:rFonts w:ascii="仿宋" w:eastAsia="仿宋" w:hAnsi="仿宋"/>
          <w:b w:val="0"/>
          <w:spacing w:val="-4"/>
          <w:sz w:val="32"/>
          <w:szCs w:val="32"/>
        </w:rPr>
      </w:pPr>
    </w:p>
    <w:p w:rsidR="00102DFF" w:rsidRDefault="00102DFF">
      <w:pPr>
        <w:spacing w:line="540" w:lineRule="exact"/>
        <w:ind w:firstLine="567"/>
        <w:rPr>
          <w:rStyle w:val="ad"/>
          <w:rFonts w:ascii="仿宋" w:eastAsia="仿宋" w:hAnsi="仿宋"/>
          <w:b w:val="0"/>
          <w:spacing w:val="-4"/>
          <w:sz w:val="32"/>
          <w:szCs w:val="32"/>
        </w:rPr>
      </w:pPr>
    </w:p>
    <w:p w:rsidR="00102DFF" w:rsidRDefault="00102DFF">
      <w:pPr>
        <w:spacing w:line="540" w:lineRule="exact"/>
        <w:ind w:firstLine="567"/>
        <w:rPr>
          <w:rStyle w:val="ad"/>
          <w:rFonts w:ascii="仿宋" w:eastAsia="仿宋" w:hAnsi="仿宋"/>
          <w:b w:val="0"/>
          <w:spacing w:val="-4"/>
          <w:sz w:val="32"/>
          <w:szCs w:val="32"/>
        </w:rPr>
      </w:pPr>
    </w:p>
    <w:p w:rsidR="00102DFF" w:rsidRDefault="00102DFF">
      <w:pPr>
        <w:spacing w:line="540" w:lineRule="exact"/>
        <w:ind w:firstLine="567"/>
        <w:rPr>
          <w:rStyle w:val="ad"/>
          <w:rFonts w:ascii="仿宋" w:eastAsia="仿宋" w:hAnsi="仿宋"/>
          <w:b w:val="0"/>
          <w:spacing w:val="-4"/>
          <w:sz w:val="32"/>
          <w:szCs w:val="32"/>
        </w:rPr>
      </w:pPr>
    </w:p>
    <w:p w:rsidR="00102DFF" w:rsidRDefault="00102DFF">
      <w:pPr>
        <w:spacing w:line="540" w:lineRule="exact"/>
        <w:ind w:firstLine="567"/>
        <w:rPr>
          <w:rStyle w:val="ad"/>
          <w:rFonts w:ascii="仿宋" w:eastAsia="仿宋" w:hAnsi="仿宋"/>
          <w:b w:val="0"/>
          <w:spacing w:val="-4"/>
          <w:sz w:val="32"/>
          <w:szCs w:val="32"/>
        </w:rPr>
      </w:pPr>
    </w:p>
    <w:p w:rsidR="00102DFF" w:rsidRDefault="00102DFF">
      <w:pPr>
        <w:spacing w:line="540" w:lineRule="exact"/>
        <w:ind w:firstLine="567"/>
        <w:rPr>
          <w:rStyle w:val="ad"/>
          <w:rFonts w:ascii="仿宋" w:eastAsia="仿宋" w:hAnsi="仿宋"/>
          <w:b w:val="0"/>
          <w:spacing w:val="-4"/>
          <w:sz w:val="32"/>
          <w:szCs w:val="32"/>
        </w:rPr>
      </w:pPr>
    </w:p>
    <w:p w:rsidR="00102DFF" w:rsidRDefault="00102DFF">
      <w:pPr>
        <w:spacing w:line="540" w:lineRule="exact"/>
        <w:ind w:firstLine="567"/>
        <w:rPr>
          <w:rStyle w:val="ad"/>
          <w:rFonts w:ascii="仿宋" w:eastAsia="仿宋" w:hAnsi="仿宋"/>
          <w:b w:val="0"/>
          <w:spacing w:val="-4"/>
          <w:sz w:val="32"/>
          <w:szCs w:val="32"/>
        </w:rPr>
      </w:pPr>
    </w:p>
    <w:p w:rsidR="00102DFF" w:rsidRDefault="00102DFF">
      <w:pPr>
        <w:spacing w:line="540" w:lineRule="exact"/>
        <w:ind w:firstLine="567"/>
        <w:rPr>
          <w:rStyle w:val="ad"/>
          <w:rFonts w:ascii="仿宋" w:eastAsia="仿宋" w:hAnsi="仿宋"/>
          <w:b w:val="0"/>
          <w:spacing w:val="-4"/>
          <w:sz w:val="32"/>
          <w:szCs w:val="32"/>
        </w:rPr>
      </w:pPr>
    </w:p>
    <w:p w:rsidR="00102DFF" w:rsidRDefault="00102DFF">
      <w:pPr>
        <w:spacing w:line="540" w:lineRule="exact"/>
        <w:ind w:firstLine="567"/>
        <w:rPr>
          <w:rStyle w:val="ad"/>
          <w:rFonts w:ascii="仿宋" w:eastAsia="仿宋" w:hAnsi="仿宋"/>
          <w:b w:val="0"/>
          <w:spacing w:val="-4"/>
          <w:sz w:val="32"/>
          <w:szCs w:val="32"/>
        </w:rPr>
      </w:pPr>
    </w:p>
    <w:sectPr w:rsidR="00102DFF">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FE7" w:rsidRDefault="00023FE7">
      <w:r>
        <w:separator/>
      </w:r>
    </w:p>
  </w:endnote>
  <w:endnote w:type="continuationSeparator" w:id="0">
    <w:p w:rsidR="00023FE7" w:rsidRDefault="00023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2003363"/>
      <w:docPartObj>
        <w:docPartGallery w:val="AutoText"/>
      </w:docPartObj>
    </w:sdtPr>
    <w:sdtEndPr/>
    <w:sdtContent>
      <w:p w:rsidR="00102DFF" w:rsidRDefault="0091457F">
        <w:pPr>
          <w:pStyle w:val="a5"/>
          <w:jc w:val="center"/>
        </w:pPr>
        <w:r>
          <w:fldChar w:fldCharType="begin"/>
        </w:r>
        <w:r>
          <w:instrText>PAGE   \* MERGEFORMAT</w:instrText>
        </w:r>
        <w:r>
          <w:fldChar w:fldCharType="separate"/>
        </w:r>
        <w:r w:rsidR="000A6F6B" w:rsidRPr="000A6F6B">
          <w:rPr>
            <w:noProof/>
            <w:lang w:val="zh-CN"/>
          </w:rPr>
          <w:t>15</w:t>
        </w:r>
        <w:r>
          <w:fldChar w:fldCharType="end"/>
        </w:r>
      </w:p>
    </w:sdtContent>
  </w:sdt>
  <w:p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FE7" w:rsidRDefault="00023FE7">
      <w:r>
        <w:separator/>
      </w:r>
    </w:p>
  </w:footnote>
  <w:footnote w:type="continuationSeparator" w:id="0">
    <w:p w:rsidR="00023FE7" w:rsidRDefault="00023F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23FE7"/>
    <w:rsid w:val="00056465"/>
    <w:rsid w:val="000A6F6B"/>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1133</Words>
  <Characters>6464</Characters>
  <Application>Microsoft Office Word</Application>
  <DocSecurity>0</DocSecurity>
  <Lines>53</Lines>
  <Paragraphs>15</Paragraphs>
  <ScaleCrop>false</ScaleCrop>
  <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93725</cp:lastModifiedBy>
  <cp:revision>21</cp:revision>
  <cp:lastPrinted>2018-12-31T10:56:00Z</cp:lastPrinted>
  <dcterms:created xsi:type="dcterms:W3CDTF">2018-08-15T02:06:00Z</dcterms:created>
  <dcterms:modified xsi:type="dcterms:W3CDTF">2023-08-21T06:51:00Z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