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jc w:val="center"/>
        <w:rPr>
          <w:rFonts w:hint="eastAsia"/>
        </w:rP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40" w:lineRule="exact"/>
        <w:jc w:val="center"/>
      </w:pPr>
    </w:p>
    <w:p>
      <w:pPr>
        <w:widowControl w:val="0"/>
        <w:snapToGrid w:val="0"/>
        <w:spacing w:line="540" w:lineRule="exact"/>
        <w:jc w:val="center"/>
      </w:pPr>
    </w:p>
    <w:p>
      <w:pPr>
        <w:widowControl w:val="0"/>
        <w:snapToGrid w:val="0"/>
        <w:spacing w:line="540" w:lineRule="exact"/>
        <w:jc w:val="center"/>
        <w:outlineLvl w:val="0"/>
        <w:rPr>
          <w:rFonts w:hint="eastAsia" w:ascii="仿宋_GB2312" w:eastAsia="仿宋_GB2312"/>
          <w:sz w:val="32"/>
          <w:szCs w:val="32"/>
        </w:rPr>
      </w:pPr>
      <w:r>
        <w:rPr>
          <w:rFonts w:hint="eastAsia" w:ascii="仿宋_GB2312" w:eastAsia="仿宋_GB2312"/>
          <w:sz w:val="32"/>
          <w:szCs w:val="32"/>
        </w:rPr>
        <w:t>木发改字〔20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84</w:t>
      </w:r>
      <w:r>
        <w:rPr>
          <w:rFonts w:hint="eastAsia" w:ascii="仿宋_GB2312" w:eastAsia="仿宋_GB2312"/>
          <w:sz w:val="32"/>
          <w:szCs w:val="32"/>
        </w:rPr>
        <w:t>号</w:t>
      </w:r>
    </w:p>
    <w:p>
      <w:pPr>
        <w:widowControl w:val="0"/>
        <w:snapToGrid w:val="0"/>
        <w:spacing w:line="540" w:lineRule="exact"/>
        <w:jc w:val="center"/>
        <w:rPr>
          <w:rFonts w:hint="eastAsia" w:ascii="仿宋_GB2312" w:eastAsia="仿宋_GB2312"/>
          <w:sz w:val="32"/>
          <w:szCs w:val="32"/>
        </w:rPr>
      </w:pPr>
    </w:p>
    <w:p>
      <w:pPr>
        <w:widowControl w:val="0"/>
        <w:snapToGrid w:val="0"/>
        <w:spacing w:line="520" w:lineRule="exact"/>
        <w:jc w:val="center"/>
      </w:pPr>
    </w:p>
    <w:p>
      <w:pPr>
        <w:spacing w:line="640" w:lineRule="exact"/>
        <w:ind w:left="178" w:leftChars="-85" w:right="-334" w:rightChars="-159" w:hanging="356" w:hangingChars="81"/>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木垒县照壁山乡平顶山安全饮水水源</w:t>
      </w:r>
    </w:p>
    <w:p>
      <w:pPr>
        <w:spacing w:line="640" w:lineRule="exact"/>
        <w:ind w:left="178" w:leftChars="-85" w:right="-334" w:rightChars="-159" w:hanging="356" w:hangingChars="81"/>
        <w:jc w:val="center"/>
        <w:outlineLvl w:val="0"/>
        <w:rPr>
          <w:rFonts w:hint="eastAsia" w:ascii="方正小标宋简体" w:eastAsia="方正小标宋简体"/>
          <w:color w:val="000000"/>
          <w:sz w:val="44"/>
          <w:szCs w:val="44"/>
        </w:rPr>
      </w:pPr>
      <w:r>
        <w:rPr>
          <w:rFonts w:hint="eastAsia" w:ascii="方正小标宋简体" w:eastAsia="方正小标宋简体"/>
          <w:sz w:val="44"/>
          <w:szCs w:val="44"/>
          <w:lang w:eastAsia="zh-CN"/>
        </w:rPr>
        <w:t>巩固提升项目</w:t>
      </w:r>
      <w:r>
        <w:rPr>
          <w:rFonts w:hint="eastAsia" w:ascii="方正小标宋简体" w:eastAsia="方正小标宋简体"/>
          <w:color w:val="000000"/>
          <w:sz w:val="44"/>
          <w:szCs w:val="44"/>
        </w:rPr>
        <w:t>可行性研究报告</w:t>
      </w:r>
    </w:p>
    <w:p>
      <w:pPr>
        <w:spacing w:line="640" w:lineRule="exact"/>
        <w:ind w:left="178" w:leftChars="-85" w:right="-334" w:rightChars="-159" w:hanging="356" w:hangingChars="81"/>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eastAsia="方正小标宋简体"/>
          <w:color w:val="000000"/>
          <w:sz w:val="44"/>
          <w:szCs w:val="44"/>
        </w:rPr>
        <w:t>（代项目建议书）的</w:t>
      </w:r>
      <w:r>
        <w:rPr>
          <w:rFonts w:hint="eastAsia" w:ascii="方正小标宋简体" w:hAnsi="方正小标宋简体" w:eastAsia="方正小标宋简体" w:cs="方正小标宋简体"/>
          <w:sz w:val="44"/>
          <w:szCs w:val="44"/>
          <w:lang w:eastAsia="zh-CN"/>
        </w:rPr>
        <w:t>批复</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木垒县</w:t>
      </w:r>
      <w:r>
        <w:rPr>
          <w:rFonts w:hint="eastAsia" w:ascii="仿宋_GB2312" w:hAnsi="仿宋_GB2312" w:eastAsia="仿宋_GB2312" w:cs="仿宋_GB2312"/>
          <w:sz w:val="32"/>
          <w:szCs w:val="32"/>
          <w:lang w:val="en-US" w:eastAsia="zh-CN"/>
        </w:rPr>
        <w:t>照壁山乡</w:t>
      </w:r>
      <w:r>
        <w:rPr>
          <w:rFonts w:hint="eastAsia" w:ascii="仿宋_GB2312" w:hAnsi="仿宋_GB2312" w:eastAsia="仿宋_GB2312" w:cs="仿宋_GB2312"/>
          <w:sz w:val="32"/>
          <w:szCs w:val="32"/>
          <w:lang w:eastAsia="zh-CN"/>
        </w:rPr>
        <w:t>人民政府：</w:t>
      </w:r>
    </w:p>
    <w:p>
      <w:pPr>
        <w:keepNext w:val="0"/>
        <w:keepLines w:val="0"/>
        <w:pageBreakBefore w:val="0"/>
        <w:widowControl w:val="0"/>
        <w:tabs>
          <w:tab w:val="left" w:pos="279"/>
          <w:tab w:val="center" w:pos="4488"/>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你单位提交的《关于木垒县照壁山乡平顶山安全饮水水源巩固提升项目可行性研究报告（代项目建议书）的请示》（</w:t>
      </w:r>
      <w:r>
        <w:rPr>
          <w:rFonts w:hint="eastAsia" w:ascii="仿宋_GB2312" w:hAnsi="仿宋_GB2312" w:eastAsia="仿宋_GB2312" w:cs="仿宋_GB2312"/>
          <w:sz w:val="32"/>
          <w:szCs w:val="32"/>
          <w:lang w:val="en-US" w:eastAsia="zh-CN"/>
        </w:rPr>
        <w:t>照</w:t>
      </w:r>
      <w:r>
        <w:rPr>
          <w:rFonts w:hint="eastAsia" w:ascii="仿宋_GB2312" w:eastAsia="仿宋_GB2312"/>
          <w:sz w:val="32"/>
          <w:szCs w:val="32"/>
          <w:highlight w:val="none"/>
          <w:lang w:val="en-US" w:eastAsia="zh-CN"/>
        </w:rPr>
        <w:t>政发</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lang w:val="en-US" w:eastAsia="zh-CN"/>
        </w:rPr>
        <w:t>、木垒县启辰工程项目管理有限公司编制的可行性研究报告（代项目建议书）及相关附件材料已收悉。</w:t>
      </w:r>
      <w:r>
        <w:rPr>
          <w:rFonts w:hint="eastAsia" w:ascii="仿宋_GB2312" w:hAnsi="仿宋_GB2312" w:eastAsia="仿宋_GB2312" w:cs="仿宋_GB2312"/>
          <w:sz w:val="32"/>
          <w:szCs w:val="32"/>
          <w:highlight w:val="none"/>
          <w:lang w:eastAsia="zh-CN"/>
        </w:rPr>
        <w:t>经研究</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批复如下</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为有效的解决平顶山居民生产生活用水问题</w:t>
      </w:r>
      <w:r>
        <w:rPr>
          <w:rFonts w:hint="eastAsia" w:ascii="仿宋_GB2312" w:hAnsi="仿宋_GB2312" w:eastAsia="仿宋_GB2312" w:cs="仿宋_GB2312"/>
          <w:color w:val="000000"/>
          <w:sz w:val="32"/>
          <w:szCs w:val="32"/>
          <w:highlight w:val="none"/>
          <w:lang w:val="en-US" w:eastAsia="zh-CN"/>
        </w:rPr>
        <w:t>，提高居民日益增长的幸福感、满足感</w:t>
      </w:r>
      <w:r>
        <w:rPr>
          <w:rFonts w:hint="eastAsia" w:ascii="仿宋" w:hAnsi="仿宋" w:eastAsia="仿宋" w:cs="仿宋"/>
          <w:sz w:val="32"/>
          <w:szCs w:val="32"/>
          <w:highlight w:val="none"/>
          <w:lang w:eastAsia="zh-CN"/>
        </w:rPr>
        <w:t>。</w:t>
      </w:r>
      <w:r>
        <w:rPr>
          <w:rFonts w:hint="eastAsia" w:ascii="仿宋_GB2312" w:hAnsi="仿宋_GB2312" w:eastAsia="仿宋_GB2312" w:cs="仿宋_GB2312"/>
          <w:sz w:val="32"/>
          <w:szCs w:val="32"/>
          <w:highlight w:val="none"/>
          <w:lang w:eastAsia="zh-CN"/>
        </w:rPr>
        <w:t>因此，实施木垒县照壁山乡平顶山安全饮水水源巩固提升项目是非常必要的。</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二、项目建设规模及主要建设内容：</w:t>
      </w:r>
      <w:r>
        <w:rPr>
          <w:rFonts w:hint="eastAsia" w:ascii="仿宋_GB2312" w:hAnsi="仿宋_GB2312" w:eastAsia="仿宋_GB2312" w:cs="仿宋_GB2312"/>
          <w:kern w:val="2"/>
          <w:sz w:val="32"/>
          <w:szCs w:val="32"/>
          <w:highlight w:val="none"/>
          <w:lang w:val="zh-TW" w:eastAsia="zh-CN" w:bidi="ar-SA"/>
        </w:rPr>
        <w:t>新建</w:t>
      </w:r>
      <w:r>
        <w:rPr>
          <w:rFonts w:hint="eastAsia" w:ascii="仿宋_GB2312" w:hAnsi="仿宋_GB2312" w:eastAsia="仿宋_GB2312" w:cs="仿宋_GB2312"/>
          <w:kern w:val="2"/>
          <w:sz w:val="32"/>
          <w:szCs w:val="32"/>
          <w:highlight w:val="none"/>
          <w:lang w:val="en-US" w:eastAsia="zh-CN" w:bidi="ar-SA"/>
        </w:rPr>
        <w:t>蓄水池4个，调压池2个，铺设9公里供水管网，入户管网13公里</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三、建设单位：木垒县</w:t>
      </w:r>
      <w:r>
        <w:rPr>
          <w:rFonts w:hint="eastAsia" w:ascii="仿宋_GB2312" w:hAnsi="仿宋_GB2312" w:eastAsia="仿宋_GB2312" w:cs="仿宋_GB2312"/>
          <w:sz w:val="32"/>
          <w:szCs w:val="32"/>
          <w:lang w:val="en-US" w:eastAsia="zh-CN"/>
        </w:rPr>
        <w:t>照壁山乡人民政府</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四、建设地点：</w:t>
      </w:r>
      <w:r>
        <w:rPr>
          <w:rFonts w:hint="eastAsia" w:ascii="仿宋_GB2312" w:hAnsi="仿宋_GB2312" w:eastAsia="仿宋_GB2312" w:cs="仿宋_GB2312"/>
          <w:sz w:val="32"/>
          <w:szCs w:val="32"/>
          <w:lang w:val="en-US" w:eastAsia="zh-CN"/>
        </w:rPr>
        <w:t>平顶山村</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lang w:eastAsia="zh-CN"/>
        </w:rPr>
        <w:t>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rPr>
        <w:t>六、项目投资规摸和</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筹措：</w:t>
      </w:r>
      <w:r>
        <w:rPr>
          <w:rFonts w:hint="eastAsia" w:ascii="仿宋_GB2312" w:eastAsia="仿宋_GB2312"/>
          <w:sz w:val="32"/>
          <w:szCs w:val="32"/>
        </w:rPr>
        <w:t>项目总投资</w:t>
      </w:r>
      <w:r>
        <w:rPr>
          <w:rFonts w:hint="eastAsia" w:ascii="仿宋_GB2312" w:eastAsia="仿宋_GB2312"/>
          <w:sz w:val="32"/>
          <w:szCs w:val="32"/>
          <w:lang w:val="en-US" w:eastAsia="zh-CN"/>
        </w:rPr>
        <w:t>370</w:t>
      </w:r>
      <w:r>
        <w:rPr>
          <w:rFonts w:hint="eastAsia" w:ascii="仿宋_GB2312" w:eastAsia="仿宋_GB2312"/>
          <w:sz w:val="32"/>
          <w:szCs w:val="32"/>
        </w:rPr>
        <w:t>万元，</w:t>
      </w:r>
      <w:r>
        <w:rPr>
          <w:rFonts w:hint="eastAsia" w:ascii="仿宋_GB2312" w:eastAsia="仿宋_GB2312"/>
          <w:sz w:val="32"/>
          <w:szCs w:val="32"/>
          <w:lang w:val="en-US" w:eastAsia="zh-CN"/>
        </w:rPr>
        <w:t>资金来源为援疆资金。</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七、建设期限：1年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八、项目代码：2305-652328-04-01-728180</w:t>
      </w:r>
      <w:r>
        <w:rPr>
          <w:rFonts w:hint="eastAsia" w:ascii="仿宋_GB2312" w:hAnsi="仿宋_GB2312" w:eastAsia="仿宋_GB2312" w:cs="仿宋_GB2312"/>
          <w:sz w:val="32"/>
          <w:szCs w:val="32"/>
          <w:lang w:eastAsia="zh-CN"/>
        </w:rPr>
        <w:tab/>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请你</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据此批复抓紧开展其他各项工作</w:t>
      </w:r>
      <w:r>
        <w:rPr>
          <w:rFonts w:hint="eastAsia" w:ascii="仿宋_GB2312" w:hAnsi="仿宋_GB2312" w:eastAsia="仿宋_GB2312" w:cs="仿宋_GB2312"/>
          <w:color w:val="auto"/>
          <w:sz w:val="32"/>
          <w:szCs w:val="32"/>
          <w:lang w:val="en-US" w:eastAsia="zh-CN"/>
        </w:rPr>
        <w:t>,资金不到位严禁开工建设，严禁产生政府债务或隐形债务。</w:t>
      </w:r>
      <w:r>
        <w:rPr>
          <w:rFonts w:hint="eastAsia" w:ascii="仿宋_GB2312" w:hAnsi="仿宋_GB2312" w:eastAsia="仿宋_GB2312" w:cs="仿宋_GB2312"/>
          <w:color w:val="auto"/>
          <w:sz w:val="32"/>
          <w:szCs w:val="32"/>
        </w:rPr>
        <w:t>并按照国家及自治区相关要求和管理办法，</w:t>
      </w:r>
      <w:r>
        <w:rPr>
          <w:rFonts w:hint="eastAsia" w:ascii="仿宋_GB2312" w:hAnsi="仿宋_GB2312" w:eastAsia="仿宋_GB2312" w:cs="仿宋_GB2312"/>
          <w:color w:val="auto"/>
          <w:sz w:val="32"/>
          <w:szCs w:val="32"/>
          <w:lang w:eastAsia="zh-CN"/>
        </w:rPr>
        <w:t>切</w:t>
      </w:r>
      <w:r>
        <w:rPr>
          <w:rFonts w:hint="eastAsia" w:ascii="仿宋_GB2312" w:hAnsi="仿宋_GB2312" w:eastAsia="仿宋_GB2312" w:cs="仿宋_GB2312"/>
          <w:color w:val="auto"/>
          <w:sz w:val="32"/>
          <w:szCs w:val="32"/>
        </w:rPr>
        <w:t>实加强项目组织管理，落实开工各项必备手续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实施中严格执行项目法人责任制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招投标制、工程监理制、合同管理制、</w:t>
      </w:r>
      <w:r>
        <w:rPr>
          <w:rFonts w:hint="eastAsia" w:ascii="仿宋_GB2312" w:hAnsi="仿宋_GB2312" w:eastAsia="仿宋_GB2312" w:cs="仿宋_GB2312"/>
          <w:color w:val="auto"/>
          <w:sz w:val="32"/>
          <w:szCs w:val="32"/>
          <w:lang w:eastAsia="zh-CN"/>
        </w:rPr>
        <w:t>竣</w:t>
      </w:r>
      <w:r>
        <w:rPr>
          <w:rFonts w:hint="eastAsia" w:ascii="仿宋_GB2312" w:hAnsi="仿宋_GB2312" w:eastAsia="仿宋_GB2312" w:cs="仿宋_GB2312"/>
          <w:color w:val="auto"/>
          <w:sz w:val="32"/>
          <w:szCs w:val="32"/>
        </w:rPr>
        <w:t>工验收制，</w:t>
      </w:r>
      <w:r>
        <w:rPr>
          <w:rFonts w:hint="eastAsia" w:ascii="仿宋_GB2312" w:hAnsi="仿宋_GB2312" w:eastAsia="仿宋_GB2312" w:cs="仿宋_GB2312"/>
          <w:color w:val="auto"/>
          <w:sz w:val="32"/>
          <w:szCs w:val="32"/>
          <w:lang w:val="en-US" w:eastAsia="zh-CN"/>
        </w:rPr>
        <w:t>严禁擅自变更建设规模、建设内容、建设标准或资金用途，</w:t>
      </w:r>
      <w:r>
        <w:rPr>
          <w:rFonts w:hint="eastAsia" w:ascii="仿宋_GB2312" w:hAnsi="仿宋_GB2312" w:eastAsia="仿宋_GB2312" w:cs="仿宋_GB2312"/>
          <w:color w:val="auto"/>
          <w:sz w:val="32"/>
          <w:szCs w:val="32"/>
        </w:rPr>
        <w:t>确保工程质量，按期建成发挥效益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因国家政策调整、价格上涨、地质条件发生重大变化等原因确需增加投资概算</w:t>
      </w:r>
      <w:r>
        <w:rPr>
          <w:rFonts w:hint="eastAsia" w:ascii="仿宋_GB2312" w:hAnsi="仿宋_GB2312" w:eastAsia="仿宋_GB2312" w:cs="仿宋_GB2312"/>
          <w:color w:val="auto"/>
          <w:sz w:val="32"/>
          <w:szCs w:val="32"/>
          <w:lang w:val="en-US" w:eastAsia="zh-CN"/>
        </w:rPr>
        <w:t>或变更内容</w:t>
      </w:r>
      <w:r>
        <w:rPr>
          <w:rFonts w:hint="eastAsia" w:ascii="仿宋_GB2312" w:hAnsi="仿宋_GB2312" w:eastAsia="仿宋_GB2312" w:cs="仿宋_GB2312"/>
          <w:color w:val="auto"/>
          <w:sz w:val="32"/>
          <w:szCs w:val="32"/>
        </w:rPr>
        <w:t>的，应当</w:t>
      </w:r>
      <w:r>
        <w:rPr>
          <w:rFonts w:hint="eastAsia" w:ascii="仿宋_GB2312" w:hAnsi="仿宋_GB2312" w:eastAsia="仿宋_GB2312" w:cs="仿宋_GB2312"/>
          <w:color w:val="auto"/>
          <w:sz w:val="32"/>
          <w:szCs w:val="32"/>
          <w:lang w:val="en-US" w:eastAsia="zh-CN"/>
        </w:rPr>
        <w:t>及时</w:t>
      </w:r>
      <w:r>
        <w:rPr>
          <w:rFonts w:hint="eastAsia" w:ascii="仿宋_GB2312" w:hAnsi="仿宋_GB2312" w:eastAsia="仿宋_GB2312" w:cs="仿宋_GB2312"/>
          <w:color w:val="auto"/>
          <w:sz w:val="32"/>
          <w:szCs w:val="32"/>
        </w:rPr>
        <w:t>提出调整方案及资金来源，按照规定的程序报</w:t>
      </w:r>
      <w:r>
        <w:rPr>
          <w:rFonts w:hint="eastAsia" w:ascii="仿宋_GB2312" w:hAnsi="仿宋_GB2312" w:eastAsia="仿宋_GB2312" w:cs="仿宋_GB2312"/>
          <w:color w:val="auto"/>
          <w:sz w:val="32"/>
          <w:szCs w:val="32"/>
          <w:lang w:val="en-US" w:eastAsia="zh-CN"/>
        </w:rPr>
        <w:t>我委进行</w:t>
      </w:r>
      <w:r>
        <w:rPr>
          <w:rFonts w:hint="eastAsia" w:ascii="仿宋_GB2312" w:hAnsi="仿宋_GB2312" w:eastAsia="仿宋_GB2312" w:cs="仿宋_GB2312"/>
          <w:color w:val="auto"/>
          <w:sz w:val="32"/>
          <w:szCs w:val="32"/>
        </w:rPr>
        <w:t>调整或者调剂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目竣工后，按照项目管理</w:t>
      </w:r>
      <w:r>
        <w:rPr>
          <w:rFonts w:hint="eastAsia" w:ascii="仿宋_GB2312" w:hAnsi="仿宋_GB2312" w:eastAsia="仿宋_GB2312" w:cs="仿宋_GB2312"/>
          <w:color w:val="auto"/>
          <w:sz w:val="32"/>
          <w:szCs w:val="32"/>
        </w:rPr>
        <w:t>办法相关规定及时</w:t>
      </w:r>
      <w:r>
        <w:rPr>
          <w:rFonts w:hint="eastAsia" w:ascii="仿宋_GB2312" w:hAnsi="仿宋_GB2312" w:eastAsia="仿宋_GB2312" w:cs="仿宋_GB2312"/>
          <w:color w:val="auto"/>
          <w:sz w:val="32"/>
          <w:szCs w:val="32"/>
          <w:lang w:eastAsia="zh-CN"/>
        </w:rPr>
        <w:t>完成项目验收。</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木垒县发展和改革委员会</w:t>
      </w:r>
    </w:p>
    <w:p>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2023年5月20日 </w:t>
      </w:r>
    </w:p>
    <w:p>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jc w:val="right"/>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p>
    <w:tbl>
      <w:tblPr>
        <w:tblStyle w:val="4"/>
        <w:tblW w:w="911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15" w:type="dxa"/>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eastAsia="仿宋_GB2312"/>
                <w:sz w:val="32"/>
                <w:szCs w:val="32"/>
                <w:u w:val="none" w:color="auto"/>
              </w:rPr>
              <w:t>木垒县发展和改革委员会           20</w:t>
            </w:r>
            <w:r>
              <w:rPr>
                <w:rFonts w:hint="eastAsia" w:ascii="仿宋_GB2312" w:eastAsia="仿宋_GB2312"/>
                <w:sz w:val="32"/>
                <w:szCs w:val="32"/>
                <w:u w:val="none" w:color="auto"/>
                <w:lang w:val="en-US" w:eastAsia="zh-CN"/>
              </w:rPr>
              <w:t>23</w:t>
            </w:r>
            <w:r>
              <w:rPr>
                <w:rFonts w:hint="eastAsia" w:ascii="仿宋_GB2312" w:eastAsia="仿宋_GB2312"/>
                <w:sz w:val="32"/>
                <w:szCs w:val="32"/>
                <w:u w:val="none" w:color="auto"/>
              </w:rPr>
              <w:t>年</w:t>
            </w:r>
            <w:r>
              <w:rPr>
                <w:rFonts w:hint="eastAsia" w:ascii="仿宋_GB2312" w:eastAsia="仿宋_GB2312"/>
                <w:sz w:val="32"/>
                <w:szCs w:val="32"/>
                <w:u w:val="none" w:color="auto"/>
                <w:lang w:val="en-US" w:eastAsia="zh-CN"/>
              </w:rPr>
              <w:t>5</w:t>
            </w:r>
            <w:r>
              <w:rPr>
                <w:rFonts w:hint="eastAsia" w:ascii="仿宋_GB2312" w:eastAsia="仿宋_GB2312"/>
                <w:sz w:val="32"/>
                <w:szCs w:val="32"/>
                <w:u w:val="none" w:color="auto"/>
              </w:rPr>
              <w:t>月</w:t>
            </w:r>
            <w:r>
              <w:rPr>
                <w:rFonts w:hint="eastAsia" w:ascii="仿宋_GB2312" w:eastAsia="仿宋_GB2312"/>
                <w:sz w:val="32"/>
                <w:szCs w:val="32"/>
                <w:u w:val="none" w:color="auto"/>
                <w:lang w:val="en-US" w:eastAsia="zh-CN"/>
              </w:rPr>
              <w:t>20</w:t>
            </w:r>
            <w:r>
              <w:rPr>
                <w:rFonts w:hint="eastAsia" w:ascii="仿宋_GB2312" w:eastAsia="仿宋_GB2312"/>
                <w:sz w:val="32"/>
                <w:szCs w:val="32"/>
                <w:u w:val="none" w:color="auto"/>
              </w:rPr>
              <w:t>日印发</w:t>
            </w:r>
          </w:p>
        </w:tc>
      </w:tr>
    </w:tbl>
    <w:p>
      <w:pPr>
        <w:keepNext w:val="0"/>
        <w:keepLines w:val="0"/>
        <w:pageBreakBefore w:val="0"/>
        <w:widowControl w:val="0"/>
        <w:kinsoku/>
        <w:wordWrap/>
        <w:overflowPunct w:val="0"/>
        <w:topLinePunct w:val="0"/>
        <w:autoSpaceDE/>
        <w:autoSpaceDN/>
        <w:bidi w:val="0"/>
        <w:adjustRightInd/>
        <w:snapToGrid/>
        <w:spacing w:line="240" w:lineRule="auto"/>
        <w:ind w:firstLine="360" w:firstLineChars="20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br w:type="page"/>
      </w:r>
    </w:p>
    <w:tbl>
      <w:tblPr>
        <w:tblStyle w:val="3"/>
        <w:tblW w:w="9117" w:type="dxa"/>
        <w:tblInd w:w="-86" w:type="dxa"/>
        <w:tblLayout w:type="fixed"/>
        <w:tblCellMar>
          <w:top w:w="15" w:type="dxa"/>
          <w:left w:w="15" w:type="dxa"/>
          <w:bottom w:w="15" w:type="dxa"/>
          <w:right w:w="15" w:type="dxa"/>
        </w:tblCellMar>
      </w:tblPr>
      <w:tblGrid>
        <w:gridCol w:w="1440"/>
        <w:gridCol w:w="1239"/>
        <w:gridCol w:w="1024"/>
        <w:gridCol w:w="968"/>
        <w:gridCol w:w="982"/>
        <w:gridCol w:w="968"/>
        <w:gridCol w:w="996"/>
        <w:gridCol w:w="1500"/>
      </w:tblGrid>
      <w:tr>
        <w:tblPrEx>
          <w:tblLayout w:type="fixed"/>
          <w:tblCellMar>
            <w:top w:w="15" w:type="dxa"/>
            <w:left w:w="15" w:type="dxa"/>
            <w:bottom w:w="15" w:type="dxa"/>
            <w:right w:w="15" w:type="dxa"/>
          </w:tblCellMar>
        </w:tblPrEx>
        <w:trPr>
          <w:trHeight w:val="600" w:hRule="atLeast"/>
        </w:trPr>
        <w:tc>
          <w:tcPr>
            <w:tcW w:w="9117" w:type="dxa"/>
            <w:gridSpan w:val="8"/>
            <w:noWrap w:val="0"/>
            <w:vAlign w:val="center"/>
          </w:tcPr>
          <w:p>
            <w:pPr>
              <w:jc w:val="left"/>
              <w:textAlignment w:val="center"/>
              <w:rPr>
                <w:rFonts w:ascii="黑体" w:hAnsi="宋体" w:eastAsia="黑体" w:cs="黑体"/>
                <w:sz w:val="22"/>
                <w:szCs w:val="22"/>
              </w:rPr>
            </w:pPr>
            <w:r>
              <w:rPr>
                <w:rFonts w:hint="eastAsia" w:ascii="黑体" w:hAnsi="宋体" w:eastAsia="黑体" w:cs="黑体"/>
                <w:sz w:val="22"/>
                <w:szCs w:val="22"/>
                <w:lang w:bidi="ar"/>
              </w:rPr>
              <w:t>附件:</w:t>
            </w:r>
          </w:p>
        </w:tc>
      </w:tr>
      <w:tr>
        <w:tblPrEx>
          <w:tblLayout w:type="fixed"/>
          <w:tblCellMar>
            <w:top w:w="15" w:type="dxa"/>
            <w:left w:w="15" w:type="dxa"/>
            <w:bottom w:w="15" w:type="dxa"/>
            <w:right w:w="15" w:type="dxa"/>
          </w:tblCellMar>
        </w:tblPrEx>
        <w:trPr>
          <w:trHeight w:val="752"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32"/>
                <w:szCs w:val="32"/>
              </w:rPr>
            </w:pPr>
            <w:r>
              <w:rPr>
                <w:rFonts w:hint="eastAsia" w:ascii="黑体" w:hAnsi="宋体" w:eastAsia="黑体" w:cs="黑体"/>
                <w:sz w:val="32"/>
                <w:szCs w:val="32"/>
                <w:lang w:bidi="ar"/>
              </w:rPr>
              <w:t>审核部门核准意见</w:t>
            </w:r>
          </w:p>
        </w:tc>
      </w:tr>
      <w:tr>
        <w:tblPrEx>
          <w:tblLayout w:type="fixed"/>
          <w:tblCellMar>
            <w:top w:w="15" w:type="dxa"/>
            <w:left w:w="15" w:type="dxa"/>
            <w:bottom w:w="15" w:type="dxa"/>
            <w:right w:w="15" w:type="dxa"/>
          </w:tblCellMar>
        </w:tblPrEx>
        <w:trPr>
          <w:trHeight w:val="866"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val="0"/>
              <w:spacing w:line="600" w:lineRule="exact"/>
              <w:ind w:firstLine="440" w:firstLineChars="200"/>
              <w:textAlignment w:val="auto"/>
              <w:rPr>
                <w:rFonts w:hint="eastAsia" w:ascii="黑体" w:hAnsi="宋体" w:eastAsia="黑体" w:cs="黑体"/>
                <w:sz w:val="22"/>
                <w:szCs w:val="22"/>
              </w:rPr>
            </w:pPr>
            <w:r>
              <w:rPr>
                <w:rFonts w:hint="eastAsia" w:ascii="黑体" w:hAnsi="宋体" w:eastAsia="黑体" w:cs="黑体"/>
                <w:sz w:val="22"/>
                <w:szCs w:val="22"/>
                <w:lang w:bidi="ar"/>
              </w:rPr>
              <w:t>建设项目名称:</w:t>
            </w:r>
            <w:r>
              <w:rPr>
                <w:rFonts w:hint="eastAsia" w:ascii="黑体" w:hAnsi="宋体" w:eastAsia="黑体" w:cs="黑体"/>
                <w:sz w:val="22"/>
                <w:szCs w:val="22"/>
                <w:lang w:eastAsia="zh-CN" w:bidi="ar"/>
              </w:rPr>
              <w:t>木垒县照壁山乡平顶山安全饮水水源巩固提升项目</w:t>
            </w:r>
          </w:p>
        </w:tc>
      </w:tr>
      <w:tr>
        <w:tblPrEx>
          <w:tblLayout w:type="fixed"/>
          <w:tblCellMar>
            <w:top w:w="15" w:type="dxa"/>
            <w:left w:w="15" w:type="dxa"/>
            <w:bottom w:w="15" w:type="dxa"/>
            <w:right w:w="15" w:type="dxa"/>
          </w:tblCellMar>
        </w:tblPrEx>
        <w:trPr>
          <w:trHeight w:val="473"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c>
          <w:tcPr>
            <w:tcW w:w="226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招标范围</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招标组织形式</w:t>
            </w:r>
          </w:p>
        </w:tc>
        <w:tc>
          <w:tcPr>
            <w:tcW w:w="196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招标方式</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不采用</w:t>
            </w:r>
            <w:r>
              <w:rPr>
                <w:rFonts w:hint="eastAsia" w:ascii="黑体" w:hAnsi="宋体" w:eastAsia="黑体" w:cs="黑体"/>
                <w:sz w:val="22"/>
                <w:szCs w:val="22"/>
                <w:lang w:bidi="ar"/>
              </w:rPr>
              <w:br w:type="textWrapping"/>
            </w:r>
            <w:r>
              <w:rPr>
                <w:rFonts w:hint="eastAsia" w:ascii="黑体" w:hAnsi="宋体" w:eastAsia="黑体" w:cs="黑体"/>
                <w:sz w:val="22"/>
                <w:szCs w:val="22"/>
                <w:lang w:bidi="ar"/>
              </w:rPr>
              <w:t>招标方式</w:t>
            </w:r>
          </w:p>
        </w:tc>
      </w:tr>
      <w:tr>
        <w:tblPrEx>
          <w:tblLayout w:type="fixed"/>
          <w:tblCellMar>
            <w:top w:w="15" w:type="dxa"/>
            <w:left w:w="15" w:type="dxa"/>
            <w:bottom w:w="15" w:type="dxa"/>
            <w:right w:w="15" w:type="dxa"/>
          </w:tblCellMar>
        </w:tblPrEx>
        <w:trPr>
          <w:trHeight w:val="6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全部招标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部分招标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自行招标</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委托招标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公开招标</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邀请招标</w:t>
            </w: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r>
      <w:tr>
        <w:tblPrEx>
          <w:tblLayout w:type="fixed"/>
          <w:tblCellMar>
            <w:top w:w="15" w:type="dxa"/>
            <w:left w:w="15" w:type="dxa"/>
            <w:bottom w:w="15" w:type="dxa"/>
            <w:right w:w="15" w:type="dxa"/>
          </w:tblCellMar>
        </w:tblPrEx>
        <w:trPr>
          <w:trHeight w:val="449"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勘察</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Layout w:type="fixed"/>
          <w:tblCellMar>
            <w:top w:w="15" w:type="dxa"/>
            <w:left w:w="15" w:type="dxa"/>
            <w:bottom w:w="15" w:type="dxa"/>
            <w:right w:w="15" w:type="dxa"/>
          </w:tblCellMar>
        </w:tblPrEx>
        <w:trPr>
          <w:trHeight w:val="45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设计</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Layout w:type="fixed"/>
          <w:tblCellMar>
            <w:top w:w="15" w:type="dxa"/>
            <w:left w:w="15" w:type="dxa"/>
            <w:bottom w:w="15" w:type="dxa"/>
            <w:right w:w="15" w:type="dxa"/>
          </w:tblCellMar>
        </w:tblPrEx>
        <w:trPr>
          <w:trHeight w:val="45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建筑工程</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r>
              <w:rPr>
                <w:rFonts w:ascii="Arial" w:hAnsi="Arial" w:eastAsia="黑体" w:cs="Arial"/>
                <w:color w:val="auto"/>
                <w:sz w:val="22"/>
                <w:szCs w:val="22"/>
                <w:highlight w:val="none"/>
              </w:rPr>
              <w: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r>
              <w:rPr>
                <w:rFonts w:ascii="Arial" w:hAnsi="Arial" w:eastAsia="黑体" w:cs="Arial"/>
                <w:color w:val="auto"/>
                <w:sz w:val="22"/>
                <w:szCs w:val="22"/>
                <w:highlight w:val="none"/>
              </w:rPr>
              <w:t>√</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r>
      <w:tr>
        <w:tblPrEx>
          <w:tblLayout w:type="fixed"/>
          <w:tblCellMar>
            <w:top w:w="15" w:type="dxa"/>
            <w:left w:w="15" w:type="dxa"/>
            <w:bottom w:w="15" w:type="dxa"/>
            <w:right w:w="15" w:type="dxa"/>
          </w:tblCellMar>
        </w:tblPrEx>
        <w:trPr>
          <w:trHeight w:val="46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安装工程</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r>
      <w:tr>
        <w:tblPrEx>
          <w:tblLayout w:type="fixed"/>
          <w:tblCellMar>
            <w:top w:w="15" w:type="dxa"/>
            <w:left w:w="15" w:type="dxa"/>
            <w:bottom w:w="15" w:type="dxa"/>
            <w:right w:w="15" w:type="dxa"/>
          </w:tblCellMar>
        </w:tblPrEx>
        <w:trPr>
          <w:trHeight w:val="416"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监理</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Layout w:type="fixed"/>
          <w:tblCellMar>
            <w:top w:w="15" w:type="dxa"/>
            <w:left w:w="15" w:type="dxa"/>
            <w:bottom w:w="15" w:type="dxa"/>
            <w:right w:w="15" w:type="dxa"/>
          </w:tblCellMar>
        </w:tblPrEx>
        <w:trPr>
          <w:trHeight w:val="38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设备</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r>
      <w:tr>
        <w:tblPrEx>
          <w:tblLayout w:type="fixed"/>
          <w:tblCellMar>
            <w:top w:w="15" w:type="dxa"/>
            <w:left w:w="15" w:type="dxa"/>
            <w:bottom w:w="15" w:type="dxa"/>
            <w:right w:w="15" w:type="dxa"/>
          </w:tblCellMar>
        </w:tblPrEx>
        <w:trPr>
          <w:trHeight w:val="46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重要材料</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r>
      <w:tr>
        <w:tblPrEx>
          <w:tblLayout w:type="fixed"/>
          <w:tblCellMar>
            <w:top w:w="15" w:type="dxa"/>
            <w:left w:w="15" w:type="dxa"/>
            <w:bottom w:w="15" w:type="dxa"/>
            <w:right w:w="15" w:type="dxa"/>
          </w:tblCellMar>
        </w:tblPrEx>
        <w:trPr>
          <w:trHeight w:val="546" w:hRule="atLeast"/>
        </w:trPr>
        <w:tc>
          <w:tcPr>
            <w:tcW w:w="1440"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其他</w:t>
            </w:r>
          </w:p>
        </w:tc>
        <w:tc>
          <w:tcPr>
            <w:tcW w:w="1239"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024"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96"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Layout w:type="fixed"/>
          <w:tblCellMar>
            <w:top w:w="15" w:type="dxa"/>
            <w:left w:w="15" w:type="dxa"/>
            <w:bottom w:w="15" w:type="dxa"/>
            <w:right w:w="15" w:type="dxa"/>
          </w:tblCellMar>
        </w:tblPrEx>
        <w:trPr>
          <w:trHeight w:val="552"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黑体" w:hAnsi="宋体" w:eastAsia="黑体" w:cs="黑体"/>
                <w:sz w:val="22"/>
                <w:szCs w:val="22"/>
              </w:rPr>
            </w:pPr>
            <w:r>
              <w:rPr>
                <w:rFonts w:hint="eastAsia" w:ascii="黑体" w:hAnsi="宋体" w:eastAsia="黑体" w:cs="黑体"/>
                <w:sz w:val="22"/>
                <w:szCs w:val="22"/>
                <w:lang w:bidi="ar"/>
              </w:rPr>
              <w:t xml:space="preserve">  审核部门核准意见说明：</w:t>
            </w:r>
          </w:p>
        </w:tc>
      </w:tr>
      <w:tr>
        <w:tblPrEx>
          <w:tblLayout w:type="fixed"/>
          <w:tblCellMar>
            <w:top w:w="15" w:type="dxa"/>
            <w:left w:w="15" w:type="dxa"/>
            <w:bottom w:w="15" w:type="dxa"/>
            <w:right w:w="15" w:type="dxa"/>
          </w:tblCellMar>
        </w:tblPrEx>
        <w:trPr>
          <w:trHeight w:val="2983"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4"/>
                <w:szCs w:val="24"/>
              </w:rPr>
            </w:pPr>
            <w:r>
              <w:rPr>
                <w:rFonts w:hint="eastAsia"/>
                <w:b/>
                <w:bCs/>
                <w:sz w:val="32"/>
                <w:szCs w:val="32"/>
              </w:rPr>
              <w:t>核准</w:t>
            </w:r>
          </w:p>
        </w:tc>
      </w:tr>
      <w:tr>
        <w:tblPrEx>
          <w:tblLayout w:type="fixed"/>
          <w:tblCellMar>
            <w:top w:w="15" w:type="dxa"/>
            <w:left w:w="15" w:type="dxa"/>
            <w:bottom w:w="15" w:type="dxa"/>
            <w:right w:w="15" w:type="dxa"/>
          </w:tblCellMar>
        </w:tblPrEx>
        <w:trPr>
          <w:trHeight w:val="1770" w:hRule="atLeast"/>
        </w:trPr>
        <w:tc>
          <w:tcPr>
            <w:tcW w:w="9117" w:type="dxa"/>
            <w:gridSpan w:val="8"/>
            <w:tcBorders>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8"/>
                <w:szCs w:val="28"/>
              </w:rPr>
            </w:pPr>
            <w:r>
              <w:rPr>
                <w:rFonts w:hint="eastAsia" w:ascii="黑体" w:hAnsi="宋体" w:eastAsia="黑体" w:cs="黑体"/>
                <w:sz w:val="28"/>
                <w:szCs w:val="28"/>
                <w:lang w:bidi="ar"/>
              </w:rPr>
              <w:t xml:space="preserve">  审批部门盖章                                                            20</w:t>
            </w:r>
            <w:r>
              <w:rPr>
                <w:rFonts w:hint="eastAsia" w:ascii="黑体" w:hAnsi="宋体" w:eastAsia="黑体" w:cs="黑体"/>
                <w:sz w:val="28"/>
                <w:szCs w:val="28"/>
                <w:lang w:val="en-US" w:eastAsia="zh-CN" w:bidi="ar"/>
              </w:rPr>
              <w:t>23</w:t>
            </w:r>
            <w:r>
              <w:rPr>
                <w:rFonts w:hint="eastAsia" w:ascii="黑体" w:hAnsi="宋体" w:eastAsia="黑体" w:cs="黑体"/>
                <w:sz w:val="28"/>
                <w:szCs w:val="28"/>
                <w:lang w:bidi="ar"/>
              </w:rPr>
              <w:t>年</w:t>
            </w:r>
            <w:r>
              <w:rPr>
                <w:rFonts w:hint="eastAsia" w:ascii="黑体" w:hAnsi="宋体" w:eastAsia="黑体" w:cs="黑体"/>
                <w:sz w:val="28"/>
                <w:szCs w:val="28"/>
                <w:lang w:val="en-US" w:eastAsia="zh-CN" w:bidi="ar"/>
              </w:rPr>
              <w:t>5</w:t>
            </w:r>
            <w:r>
              <w:rPr>
                <w:rFonts w:hint="eastAsia" w:ascii="黑体" w:hAnsi="宋体" w:eastAsia="黑体" w:cs="黑体"/>
                <w:sz w:val="28"/>
                <w:szCs w:val="28"/>
                <w:lang w:bidi="ar"/>
              </w:rPr>
              <w:t>月</w:t>
            </w:r>
            <w:r>
              <w:rPr>
                <w:rFonts w:hint="eastAsia" w:ascii="黑体" w:hAnsi="宋体" w:eastAsia="黑体" w:cs="黑体"/>
                <w:sz w:val="28"/>
                <w:szCs w:val="28"/>
                <w:lang w:val="en-US" w:eastAsia="zh-CN" w:bidi="ar"/>
              </w:rPr>
              <w:t>20</w:t>
            </w:r>
            <w:r>
              <w:rPr>
                <w:rFonts w:hint="eastAsia" w:ascii="黑体" w:hAnsi="宋体" w:eastAsia="黑体" w:cs="黑体"/>
                <w:sz w:val="28"/>
                <w:szCs w:val="28"/>
                <w:lang w:bidi="ar"/>
              </w:rPr>
              <w:t>日</w:t>
            </w:r>
          </w:p>
        </w:tc>
      </w:tr>
      <w:tr>
        <w:tblPrEx>
          <w:tblLayout w:type="fixed"/>
          <w:tblCellMar>
            <w:top w:w="15" w:type="dxa"/>
            <w:left w:w="15" w:type="dxa"/>
            <w:bottom w:w="15" w:type="dxa"/>
            <w:right w:w="15" w:type="dxa"/>
          </w:tblCellMar>
        </w:tblPrEx>
        <w:trPr>
          <w:trHeight w:val="285" w:hRule="atLeast"/>
        </w:trPr>
        <w:tc>
          <w:tcPr>
            <w:tcW w:w="9117" w:type="dxa"/>
            <w:gridSpan w:val="8"/>
            <w:noWrap w:val="0"/>
            <w:vAlign w:val="center"/>
          </w:tcPr>
          <w:p>
            <w:pPr>
              <w:jc w:val="left"/>
              <w:textAlignment w:val="center"/>
              <w:rPr>
                <w:rFonts w:hint="eastAsia" w:ascii="黑体" w:hAnsi="宋体" w:eastAsia="黑体" w:cs="黑体"/>
                <w:sz w:val="22"/>
                <w:szCs w:val="22"/>
              </w:rPr>
            </w:pPr>
            <w:r>
              <w:rPr>
                <w:rFonts w:hint="eastAsia" w:ascii="黑体" w:hAnsi="宋体" w:eastAsia="黑体" w:cs="黑体"/>
                <w:sz w:val="22"/>
                <w:szCs w:val="22"/>
                <w:lang w:bidi="ar"/>
              </w:rPr>
              <w:t>注：审批部门在空格注明“核准”或者“不予核准”</w:t>
            </w:r>
          </w:p>
        </w:tc>
      </w:tr>
    </w:tbl>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lang w:val="en-US" w:eastAsia="zh-CN"/>
        </w:rPr>
      </w:pPr>
    </w:p>
    <w:sectPr>
      <w:pgSz w:w="11850" w:h="16784"/>
      <w:pgMar w:top="1587" w:right="1474" w:bottom="1474" w:left="1587"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jIxOWQyMjkwNmUxZjIyYWIyZmUyYjMyNmViNDUifQ=="/>
  </w:docVars>
  <w:rsids>
    <w:rsidRoot w:val="73A67976"/>
    <w:rsid w:val="017B0454"/>
    <w:rsid w:val="04DA30D9"/>
    <w:rsid w:val="0862318E"/>
    <w:rsid w:val="0A0337A1"/>
    <w:rsid w:val="0E827BEC"/>
    <w:rsid w:val="0FA20CC8"/>
    <w:rsid w:val="106D3134"/>
    <w:rsid w:val="112C6D0A"/>
    <w:rsid w:val="127C5A5A"/>
    <w:rsid w:val="15597689"/>
    <w:rsid w:val="17C67534"/>
    <w:rsid w:val="19A22731"/>
    <w:rsid w:val="1AA90BF1"/>
    <w:rsid w:val="1B79605F"/>
    <w:rsid w:val="1D104875"/>
    <w:rsid w:val="1E076C82"/>
    <w:rsid w:val="1E9D3BAA"/>
    <w:rsid w:val="251D1329"/>
    <w:rsid w:val="255F7299"/>
    <w:rsid w:val="284F5201"/>
    <w:rsid w:val="287F362C"/>
    <w:rsid w:val="2BCA120E"/>
    <w:rsid w:val="2F115E33"/>
    <w:rsid w:val="30ED4FFD"/>
    <w:rsid w:val="3181001F"/>
    <w:rsid w:val="371D1E1A"/>
    <w:rsid w:val="397C0125"/>
    <w:rsid w:val="3C844DC4"/>
    <w:rsid w:val="3D6D6455"/>
    <w:rsid w:val="3D7A2EC4"/>
    <w:rsid w:val="3F162EEE"/>
    <w:rsid w:val="411728A5"/>
    <w:rsid w:val="41EF23BA"/>
    <w:rsid w:val="43213DE3"/>
    <w:rsid w:val="46690BD8"/>
    <w:rsid w:val="4ACE3438"/>
    <w:rsid w:val="4C9345C9"/>
    <w:rsid w:val="4D0A5610"/>
    <w:rsid w:val="4DE23569"/>
    <w:rsid w:val="50245B53"/>
    <w:rsid w:val="508036EE"/>
    <w:rsid w:val="51555EAB"/>
    <w:rsid w:val="52AC362B"/>
    <w:rsid w:val="54847B51"/>
    <w:rsid w:val="56941CA1"/>
    <w:rsid w:val="572428C2"/>
    <w:rsid w:val="58D473C9"/>
    <w:rsid w:val="5AFA6BAE"/>
    <w:rsid w:val="5DD376C4"/>
    <w:rsid w:val="5DE13117"/>
    <w:rsid w:val="5E76463C"/>
    <w:rsid w:val="5FA61F01"/>
    <w:rsid w:val="60953E97"/>
    <w:rsid w:val="62782477"/>
    <w:rsid w:val="64F32E41"/>
    <w:rsid w:val="65BD34FD"/>
    <w:rsid w:val="67E604D7"/>
    <w:rsid w:val="682312FD"/>
    <w:rsid w:val="6C0144B9"/>
    <w:rsid w:val="6C5D4159"/>
    <w:rsid w:val="6CBE1B8F"/>
    <w:rsid w:val="6F0E430A"/>
    <w:rsid w:val="6F1F7EE0"/>
    <w:rsid w:val="6FCC0136"/>
    <w:rsid w:val="701915B3"/>
    <w:rsid w:val="70FF6B30"/>
    <w:rsid w:val="71880C5D"/>
    <w:rsid w:val="73A67976"/>
    <w:rsid w:val="75C946B0"/>
    <w:rsid w:val="78B939EA"/>
    <w:rsid w:val="78E25BD0"/>
    <w:rsid w:val="7B56460B"/>
    <w:rsid w:val="7C573113"/>
    <w:rsid w:val="7CFB4952"/>
    <w:rsid w:val="7DF37DC8"/>
    <w:rsid w:val="7E64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qFormat/>
    <w:uiPriority w:val="0"/>
    <w:pPr>
      <w:ind w:left="560"/>
      <w:jc w:val="left"/>
    </w:pPr>
    <w:rPr>
      <w:rFonts w:ascii="Calibri" w:hAnsi="Calibri" w:cs="Calibri"/>
      <w:i/>
      <w:iCs/>
      <w:sz w:val="2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15"/>
    <w:basedOn w:val="5"/>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852</Words>
  <Characters>870</Characters>
  <Lines>0</Lines>
  <Paragraphs>0</Paragraphs>
  <TotalTime>5</TotalTime>
  <ScaleCrop>false</ScaleCrop>
  <LinksUpToDate>false</LinksUpToDate>
  <CharactersWithSpaces>954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2019-01-08T03:23:00Z</dcterms:created>
  <dc:creator>樱桃</dc:creator>
  <cp:lastModifiedBy>Admin</cp:lastModifiedBy>
  <cp:lastPrinted>2022-06-17T15:42:00Z</cp:lastPrinted>
  <dcterms:modified xsi:type="dcterms:W3CDTF">2023-05-18T12:16:23Z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463558ED982A41C88F4D4648FE13B0B3_12</vt:lpwstr>
  </property>
</Properties>
</file>