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eastAsia="zh-CN"/>
        </w:rPr>
        <w:t>木垒县发展</w:t>
      </w:r>
      <w:r>
        <w:rPr>
          <w:rFonts w:hint="eastAsia" w:ascii="Times New Roman" w:hAnsi="Times New Roman" w:eastAsia="方正小标宋简体"/>
          <w:sz w:val="44"/>
          <w:szCs w:val="44"/>
          <w:lang w:val="en-US" w:eastAsia="zh-CN"/>
        </w:rPr>
        <w:t>和</w:t>
      </w:r>
      <w:r>
        <w:rPr>
          <w:rFonts w:hint="eastAsia" w:ascii="Times New Roman" w:hAnsi="Times New Roman" w:eastAsia="方正小标宋简体"/>
          <w:sz w:val="44"/>
          <w:szCs w:val="44"/>
          <w:lang w:eastAsia="zh-CN"/>
        </w:rPr>
        <w:t>改革</w:t>
      </w:r>
      <w:r>
        <w:rPr>
          <w:rFonts w:hint="eastAsia" w:ascii="Times New Roman" w:hAnsi="Times New Roman" w:eastAsia="方正小标宋简体"/>
          <w:sz w:val="44"/>
          <w:szCs w:val="44"/>
          <w:lang w:val="en-US" w:eastAsia="zh-CN"/>
        </w:rPr>
        <w:t>委员会</w:t>
      </w:r>
      <w:r>
        <w:rPr>
          <w:rFonts w:hint="eastAsia" w:ascii="Times New Roman" w:hAnsi="Times New Roman" w:eastAsia="方正小标宋简体"/>
          <w:sz w:val="44"/>
          <w:szCs w:val="44"/>
          <w:lang w:eastAsia="zh-CN"/>
        </w:rPr>
        <w:t>关于</w:t>
      </w:r>
      <w:r>
        <w:rPr>
          <w:rFonts w:hint="eastAsia" w:ascii="Times New Roman" w:hAnsi="Times New Roman" w:eastAsia="方正小标宋简体"/>
          <w:sz w:val="44"/>
          <w:szCs w:val="44"/>
          <w:lang w:val="en-US" w:eastAsia="zh-CN"/>
        </w:rPr>
        <w:t>木垒县英格堡乡菜籽沟村2024年自来水提升改造项目可行性研究报告（代项目建议书）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w:t>
      </w:r>
      <w:r>
        <w:rPr>
          <w:rFonts w:hint="eastAsia" w:ascii="Times New Roman" w:hAnsi="Times New Roman" w:eastAsia="仿宋_GB2312" w:cs="仿宋_GB2312"/>
          <w:spacing w:val="-6"/>
          <w:sz w:val="32"/>
          <w:szCs w:val="32"/>
          <w:highlight w:val="none"/>
          <w:lang w:val="en-US" w:eastAsia="zh-CN"/>
        </w:rPr>
        <w:t>英格堡乡</w:t>
      </w:r>
      <w:r>
        <w:rPr>
          <w:rFonts w:hint="eastAsia" w:ascii="Times New Roman" w:hAnsi="Times New Roman" w:eastAsia="仿宋_GB2312" w:cs="方正仿宋简体"/>
          <w:spacing w:val="-6"/>
          <w:kern w:val="0"/>
          <w:sz w:val="32"/>
          <w:lang w:val="en-US" w:eastAsia="zh-CN"/>
        </w:rPr>
        <w:t>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报来《关于木垒县英格堡乡菜籽沟村2024年自来水提升改造项目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英乡政发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6</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一、为提升英格堡乡菜籽沟村饮用水基础设施建设、改善水质，提高村民的饮水条件。同意实施木垒县英格堡乡菜籽沟村2024年自来水提升改造项目（项目代码2406-652328-04-01-381274）。</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木垒县英格堡乡</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项目建设规模及主要建设内容：新建供水管道3千米及200立方米沉淀池一座等配套附属工程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项目总投资：189万元，资金来源为自治区衔接</w:t>
      </w:r>
      <w:r>
        <w:rPr>
          <w:rFonts w:hint="eastAsia" w:ascii="仿宋_GB2312" w:hAnsi="仿宋_GB2312" w:eastAsia="仿宋_GB2312" w:cs="仿宋_GB2312"/>
          <w:sz w:val="32"/>
          <w:szCs w:val="32"/>
          <w:lang w:val="en-US" w:eastAsia="zh-CN"/>
        </w:rPr>
        <w:t>资金</w:t>
      </w:r>
      <w:r>
        <w:rPr>
          <w:rFonts w:hint="eastAsia" w:ascii="Times New Roman" w:hAnsi="Times New Roman" w:eastAsia="仿宋_GB2312" w:cs="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w:t>
      </w:r>
      <w:r>
        <w:rPr>
          <w:rFonts w:hint="eastAsia" w:ascii="Times New Roman" w:hAnsi="Times New Roman" w:eastAsia="仿宋_GB2312" w:cs="方正仿宋简体"/>
          <w:spacing w:val="-6"/>
          <w:kern w:val="0"/>
          <w:sz w:val="32"/>
          <w:lang w:val="en-US" w:eastAsia="zh-CN"/>
        </w:rPr>
        <w:t>县英格堡乡人民政府，</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项目日常监管责任单位：木垒县水利局负责项目的日常监管、现场核查和监督检查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w:t>
      </w:r>
      <w:bookmarkStart w:id="0" w:name="_GoBack"/>
      <w:bookmarkEnd w:id="0"/>
      <w:r>
        <w:rPr>
          <w:rFonts w:hint="eastAsia" w:ascii="Times New Roman" w:hAnsi="Times New Roman" w:eastAsia="仿宋_GB2312" w:cs="仿宋_GB2312"/>
          <w:spacing w:val="-6"/>
          <w:sz w:val="32"/>
          <w:szCs w:val="32"/>
          <w:highlight w:val="none"/>
          <w:lang w:val="en-US" w:eastAsia="zh-CN"/>
        </w:rPr>
        <w:t>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2024年6月日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6</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Layout w:type="fixed"/>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Layout w:type="fixed"/>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Layout w:type="fixed"/>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称:木垒县英格堡乡菜籽沟村2024年自来水提升改造项目</w:t>
            </w:r>
          </w:p>
        </w:tc>
      </w:tr>
      <w:tr>
        <w:tblPrEx>
          <w:tblLayout w:type="fixed"/>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Layout w:type="fixed"/>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Layout w:type="fixed"/>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6</w:t>
            </w:r>
            <w:r>
              <w:rPr>
                <w:rFonts w:hint="eastAsia" w:ascii="黑体" w:hAnsi="黑体" w:eastAsia="黑体" w:cs="黑体"/>
                <w:sz w:val="28"/>
                <w:szCs w:val="28"/>
                <w:lang w:bidi="ar"/>
              </w:rPr>
              <w:t>月日</w:t>
            </w:r>
          </w:p>
        </w:tc>
      </w:tr>
      <w:tr>
        <w:tblPrEx>
          <w:tblLayout w:type="fixed"/>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ZDkzMDNiNzdlM2ZhNjc1NGY5NDlmMjgwYTA2ZjMifQ=="/>
    <w:docVar w:name="KSO_WPS_MARK_KEY" w:val="f19bada9-a45d-4096-a61c-369f3d5301e8"/>
  </w:docVars>
  <w:rsids>
    <w:rsidRoot w:val="73A67976"/>
    <w:rsid w:val="00AF646B"/>
    <w:rsid w:val="017B0454"/>
    <w:rsid w:val="03A04F32"/>
    <w:rsid w:val="03B3529D"/>
    <w:rsid w:val="03C67388"/>
    <w:rsid w:val="04DA30D9"/>
    <w:rsid w:val="0524013F"/>
    <w:rsid w:val="05600283"/>
    <w:rsid w:val="05D67331"/>
    <w:rsid w:val="0862318E"/>
    <w:rsid w:val="09B81912"/>
    <w:rsid w:val="0A0337A1"/>
    <w:rsid w:val="0A35128A"/>
    <w:rsid w:val="0ADC5FD8"/>
    <w:rsid w:val="0ADF620E"/>
    <w:rsid w:val="0B7B46FE"/>
    <w:rsid w:val="0C550884"/>
    <w:rsid w:val="0C6E7275"/>
    <w:rsid w:val="0C711B61"/>
    <w:rsid w:val="0DC25334"/>
    <w:rsid w:val="0E1D53EF"/>
    <w:rsid w:val="0E827BEC"/>
    <w:rsid w:val="0FA20CC8"/>
    <w:rsid w:val="0FA7589A"/>
    <w:rsid w:val="106D3134"/>
    <w:rsid w:val="112C6D0A"/>
    <w:rsid w:val="114E48CB"/>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BF12DA"/>
    <w:rsid w:val="1F910231"/>
    <w:rsid w:val="22645651"/>
    <w:rsid w:val="228F5316"/>
    <w:rsid w:val="24D1677D"/>
    <w:rsid w:val="2509135D"/>
    <w:rsid w:val="251D1329"/>
    <w:rsid w:val="255F7299"/>
    <w:rsid w:val="276739A8"/>
    <w:rsid w:val="27AF717F"/>
    <w:rsid w:val="284F5201"/>
    <w:rsid w:val="287F362C"/>
    <w:rsid w:val="28B202D1"/>
    <w:rsid w:val="293053E9"/>
    <w:rsid w:val="29791BFE"/>
    <w:rsid w:val="2ACC3538"/>
    <w:rsid w:val="2B632B65"/>
    <w:rsid w:val="2B722069"/>
    <w:rsid w:val="2B7F7BE5"/>
    <w:rsid w:val="2BCA120E"/>
    <w:rsid w:val="2EB57234"/>
    <w:rsid w:val="2F115E33"/>
    <w:rsid w:val="2FDB2CCA"/>
    <w:rsid w:val="2FE778C1"/>
    <w:rsid w:val="306308F3"/>
    <w:rsid w:val="31440E21"/>
    <w:rsid w:val="316A1E7D"/>
    <w:rsid w:val="32D04EE7"/>
    <w:rsid w:val="381B7B8F"/>
    <w:rsid w:val="397C0125"/>
    <w:rsid w:val="3992101D"/>
    <w:rsid w:val="3A315BB2"/>
    <w:rsid w:val="3A494027"/>
    <w:rsid w:val="3AB74DDD"/>
    <w:rsid w:val="3C3A521C"/>
    <w:rsid w:val="3C844DC4"/>
    <w:rsid w:val="3D4E0F7F"/>
    <w:rsid w:val="3D7A2EC4"/>
    <w:rsid w:val="3E5F6CF9"/>
    <w:rsid w:val="3F162EEE"/>
    <w:rsid w:val="3F330503"/>
    <w:rsid w:val="3FB92AD4"/>
    <w:rsid w:val="411728A5"/>
    <w:rsid w:val="418A2377"/>
    <w:rsid w:val="41EF23BA"/>
    <w:rsid w:val="43213DE3"/>
    <w:rsid w:val="43741014"/>
    <w:rsid w:val="447B69B3"/>
    <w:rsid w:val="47D159DD"/>
    <w:rsid w:val="48D23907"/>
    <w:rsid w:val="495E1254"/>
    <w:rsid w:val="4A513E5D"/>
    <w:rsid w:val="4ABF5BFF"/>
    <w:rsid w:val="4ACE3438"/>
    <w:rsid w:val="4AE25D59"/>
    <w:rsid w:val="4AE25EBA"/>
    <w:rsid w:val="4B753C73"/>
    <w:rsid w:val="4C35316B"/>
    <w:rsid w:val="4C9345C9"/>
    <w:rsid w:val="4D9705EA"/>
    <w:rsid w:val="4DE23569"/>
    <w:rsid w:val="4E7424E1"/>
    <w:rsid w:val="50245B53"/>
    <w:rsid w:val="508036EE"/>
    <w:rsid w:val="51555EAB"/>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B242B1"/>
    <w:rsid w:val="66CD6B09"/>
    <w:rsid w:val="67E604D7"/>
    <w:rsid w:val="69343E00"/>
    <w:rsid w:val="6A0018A7"/>
    <w:rsid w:val="6A695C0E"/>
    <w:rsid w:val="6B455C07"/>
    <w:rsid w:val="6C0144B9"/>
    <w:rsid w:val="6C5D4159"/>
    <w:rsid w:val="6CBE1B8F"/>
    <w:rsid w:val="6D973994"/>
    <w:rsid w:val="6DFA4688"/>
    <w:rsid w:val="6F0E430A"/>
    <w:rsid w:val="6F1F7EE0"/>
    <w:rsid w:val="6F2C6506"/>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BD749DB"/>
    <w:rsid w:val="7C573113"/>
    <w:rsid w:val="7C94044F"/>
    <w:rsid w:val="7CBF1F74"/>
    <w:rsid w:val="7CFB495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1185</Words>
  <Characters>1220</Characters>
  <Lines>0</Lines>
  <Paragraphs>0</Paragraphs>
  <TotalTime>1</TotalTime>
  <ScaleCrop>false</ScaleCrop>
  <LinksUpToDate>false</LinksUpToDate>
  <CharactersWithSpaces>1458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Administrator</cp:lastModifiedBy>
  <cp:lastPrinted>2024-05-23T11:48:00Z</cp:lastPrinted>
  <dcterms:modified xsi:type="dcterms:W3CDTF">2024-07-30T04:47:52Z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0600D61D70EF4CA98A7D2F39C6FE349E</vt:lpwstr>
  </property>
</Properties>
</file>