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jc w:val="center"/>
        <w:rPr>
          <w:rFonts w:hint="eastAsia"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40" w:lineRule="exact"/>
        <w:jc w:val="center"/>
        <w:rPr>
          <w:rFonts w:ascii="Times New Roman" w:hAnsi="Times New Roman"/>
        </w:rPr>
      </w:pPr>
    </w:p>
    <w:p>
      <w:pPr>
        <w:widowControl w:val="0"/>
        <w:snapToGrid w:val="0"/>
        <w:spacing w:line="540" w:lineRule="exact"/>
        <w:jc w:val="center"/>
        <w:rPr>
          <w:rFonts w:ascii="Times New Roman" w:hAnsi="Times New Roman"/>
        </w:rPr>
      </w:pPr>
    </w:p>
    <w:p>
      <w:pPr>
        <w:pStyle w:val="5"/>
      </w:pPr>
    </w:p>
    <w:p>
      <w:pPr>
        <w:keepNext w:val="0"/>
        <w:keepLines w:val="0"/>
        <w:pageBreakBefore w:val="0"/>
        <w:widowControl w:val="0"/>
        <w:kinsoku/>
        <w:wordWrap/>
        <w:topLinePunct w:val="0"/>
        <w:autoSpaceDE/>
        <w:autoSpaceDN/>
        <w:bidi w:val="0"/>
        <w:adjustRightInd/>
        <w:snapToGrid w:val="0"/>
        <w:spacing w:line="560" w:lineRule="exact"/>
        <w:jc w:val="center"/>
        <w:textAlignment w:val="auto"/>
        <w:outlineLvl w:val="0"/>
        <w:rPr>
          <w:rFonts w:hint="eastAsia" w:ascii="Times New Roman" w:hAnsi="Times New Roman" w:eastAsia="仿宋_GB2312"/>
          <w:sz w:val="32"/>
          <w:szCs w:val="32"/>
        </w:rPr>
      </w:pPr>
      <w:r>
        <w:rPr>
          <w:rFonts w:hint="eastAsia" w:ascii="Times New Roman" w:hAnsi="Times New Roman" w:eastAsia="仿宋_GB2312"/>
          <w:sz w:val="32"/>
          <w:szCs w:val="32"/>
        </w:rPr>
        <w:t>木发改字〔20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222</w:t>
      </w:r>
      <w:r>
        <w:rPr>
          <w:rFonts w:hint="eastAsia" w:ascii="Times New Roman" w:hAnsi="Times New Roman"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lang w:eastAsia="zh-CN"/>
        </w:rPr>
        <w:t>木垒县发展</w:t>
      </w:r>
      <w:r>
        <w:rPr>
          <w:rFonts w:hint="eastAsia" w:ascii="Times New Roman" w:hAnsi="Times New Roman" w:eastAsia="方正小标宋简体"/>
          <w:sz w:val="44"/>
          <w:szCs w:val="44"/>
          <w:lang w:val="en-US" w:eastAsia="zh-CN"/>
        </w:rPr>
        <w:t>和</w:t>
      </w:r>
      <w:r>
        <w:rPr>
          <w:rFonts w:hint="eastAsia" w:ascii="Times New Roman" w:hAnsi="Times New Roman" w:eastAsia="方正小标宋简体"/>
          <w:sz w:val="44"/>
          <w:szCs w:val="44"/>
          <w:lang w:eastAsia="zh-CN"/>
        </w:rPr>
        <w:t>改革</w:t>
      </w:r>
      <w:r>
        <w:rPr>
          <w:rFonts w:hint="eastAsia" w:ascii="Times New Roman" w:hAnsi="Times New Roman" w:eastAsia="方正小标宋简体"/>
          <w:sz w:val="44"/>
          <w:szCs w:val="44"/>
          <w:lang w:val="en-US" w:eastAsia="zh-CN"/>
        </w:rPr>
        <w:t>委员会关于木垒县照壁山乡周家塘村粪污一体化项目可行性研究报告</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sz w:val="44"/>
          <w:szCs w:val="44"/>
          <w:lang w:val="en-US" w:eastAsia="zh-CN"/>
        </w:rPr>
        <w:t>（代项目建议书）</w:t>
      </w:r>
      <w:r>
        <w:rPr>
          <w:rFonts w:hint="eastAsia" w:ascii="Times New Roman" w:hAnsi="Times New Roman" w:eastAsia="方正小标宋简体"/>
          <w:color w:val="000000"/>
          <w:sz w:val="44"/>
          <w:szCs w:val="44"/>
        </w:rPr>
        <w:t>的</w:t>
      </w:r>
      <w:r>
        <w:rPr>
          <w:rFonts w:hint="eastAsia" w:ascii="Times New Roman" w:hAnsi="Times New Roman" w:eastAsia="方正小标宋简体" w:cs="方正小标宋简体"/>
          <w:sz w:val="44"/>
          <w:szCs w:val="44"/>
          <w:lang w:eastAsia="zh-CN"/>
        </w:rPr>
        <w:t>批复</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right="0" w:rightChars="0"/>
        <w:jc w:val="left"/>
        <w:textAlignment w:val="auto"/>
        <w:outlineLvl w:val="0"/>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方正仿宋简体"/>
          <w:spacing w:val="-6"/>
          <w:kern w:val="0"/>
          <w:sz w:val="32"/>
          <w:lang w:val="en-US" w:eastAsia="zh-CN"/>
        </w:rPr>
        <w:t>木垒县照壁山乡人民政府</w:t>
      </w:r>
      <w:r>
        <w:rPr>
          <w:rFonts w:hint="eastAsia" w:ascii="Times New Roman" w:hAnsi="Times New Roman" w:eastAsia="仿宋_GB2312" w:cs="仿宋_GB2312"/>
          <w:spacing w:val="-6"/>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报来《关于</w:t>
      </w:r>
      <w:r>
        <w:rPr>
          <w:rFonts w:hint="eastAsia" w:ascii="仿宋_GB2312" w:hAnsi="仿宋_GB2312" w:eastAsia="仿宋_GB2312" w:cs="仿宋_GB2312"/>
          <w:sz w:val="32"/>
          <w:szCs w:val="32"/>
          <w:lang w:val="en-US" w:eastAsia="zh-CN"/>
        </w:rPr>
        <w:t>木垒县照壁山乡周家塘村粪污一体化项目</w:t>
      </w:r>
      <w:r>
        <w:rPr>
          <w:rFonts w:hint="eastAsia" w:ascii="Times New Roman" w:hAnsi="Times New Roman" w:eastAsia="仿宋_GB2312" w:cs="仿宋_GB2312"/>
          <w:spacing w:val="-6"/>
          <w:sz w:val="32"/>
          <w:szCs w:val="32"/>
          <w:highlight w:val="none"/>
          <w:lang w:eastAsia="zh-CN"/>
        </w:rPr>
        <w:t>可行性研究报告（代项目建议书）的请示》（</w:t>
      </w:r>
      <w:r>
        <w:rPr>
          <w:rFonts w:hint="eastAsia" w:ascii="Times New Roman" w:hAnsi="Times New Roman" w:eastAsia="仿宋_GB2312" w:cs="仿宋_GB2312"/>
          <w:spacing w:val="-6"/>
          <w:sz w:val="32"/>
          <w:szCs w:val="32"/>
          <w:highlight w:val="none"/>
          <w:lang w:val="en-US" w:eastAsia="zh-CN"/>
        </w:rPr>
        <w:t>照政发</w:t>
      </w:r>
      <w:r>
        <w:rPr>
          <w:rFonts w:hint="eastAsia" w:ascii="Times New Roman" w:hAnsi="Times New Roman" w:eastAsia="仿宋_GB2312" w:cs="仿宋_GB2312"/>
          <w:spacing w:val="-6"/>
          <w:sz w:val="32"/>
          <w:szCs w:val="32"/>
          <w:highlight w:val="none"/>
          <w:lang w:eastAsia="zh-CN"/>
        </w:rPr>
        <w:t>〔202</w:t>
      </w:r>
      <w:r>
        <w:rPr>
          <w:rFonts w:hint="eastAsia" w:ascii="Times New Roman" w:hAnsi="Times New Roman" w:eastAsia="仿宋_GB2312" w:cs="仿宋_GB2312"/>
          <w:spacing w:val="-6"/>
          <w:sz w:val="32"/>
          <w:szCs w:val="32"/>
          <w:highlight w:val="none"/>
          <w:lang w:val="en-US" w:eastAsia="zh-CN"/>
        </w:rPr>
        <w:t>4</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lang w:val="en-US" w:eastAsia="zh-CN"/>
        </w:rPr>
        <w:t>5</w:t>
      </w:r>
      <w:r>
        <w:rPr>
          <w:rFonts w:hint="eastAsia" w:ascii="Times New Roman" w:hAnsi="Times New Roman" w:eastAsia="仿宋_GB2312" w:cs="仿宋_GB2312"/>
          <w:spacing w:val="-6"/>
          <w:sz w:val="32"/>
          <w:szCs w:val="32"/>
          <w:highlight w:val="none"/>
          <w:lang w:eastAsia="zh-CN"/>
        </w:rPr>
        <w:t>号）</w:t>
      </w:r>
      <w:r>
        <w:rPr>
          <w:rFonts w:hint="eastAsia" w:ascii="Times New Roman" w:hAnsi="Times New Roman" w:eastAsia="仿宋_GB2312" w:cs="仿宋_GB2312"/>
          <w:color w:val="000000"/>
          <w:spacing w:val="-6"/>
          <w:sz w:val="32"/>
          <w:szCs w:val="32"/>
          <w:highlight w:val="none"/>
          <w:lang w:val="en-US" w:eastAsia="zh-CN"/>
        </w:rPr>
        <w:t>及有关材料收悉。</w:t>
      </w:r>
      <w:r>
        <w:rPr>
          <w:rFonts w:hint="eastAsia" w:ascii="Times New Roman" w:hAnsi="Times New Roman" w:eastAsia="仿宋_GB2312" w:cs="仿宋_GB2312"/>
          <w:spacing w:val="-6"/>
          <w:sz w:val="32"/>
          <w:szCs w:val="32"/>
          <w:highlight w:val="none"/>
          <w:lang w:eastAsia="zh-CN"/>
        </w:rPr>
        <w:t>经研究，</w:t>
      </w:r>
      <w:r>
        <w:rPr>
          <w:rFonts w:hint="eastAsia" w:ascii="Times New Roman" w:hAnsi="Times New Roman" w:eastAsia="仿宋_GB2312" w:cs="仿宋_GB2312"/>
          <w:spacing w:val="-6"/>
          <w:sz w:val="32"/>
          <w:szCs w:val="32"/>
          <w:highlight w:val="none"/>
          <w:lang w:val="en-US" w:eastAsia="zh-CN"/>
        </w:rPr>
        <w:t>现</w:t>
      </w:r>
      <w:r>
        <w:rPr>
          <w:rFonts w:hint="eastAsia" w:ascii="Times New Roman" w:hAnsi="Times New Roman" w:eastAsia="仿宋_GB2312" w:cs="仿宋_GB2312"/>
          <w:spacing w:val="-6"/>
          <w:sz w:val="32"/>
          <w:szCs w:val="32"/>
          <w:highlight w:val="none"/>
          <w:lang w:eastAsia="zh-CN"/>
        </w:rPr>
        <w:t>批复如下</w:t>
      </w:r>
      <w:r>
        <w:rPr>
          <w:rFonts w:hint="eastAsia" w:ascii="Times New Roman" w:hAnsi="Times New Roman" w:eastAsia="仿宋_GB2312" w:cs="仿宋_GB2312"/>
          <w:spacing w:val="-6"/>
          <w:sz w:val="32"/>
          <w:szCs w:val="32"/>
          <w:highlight w:val="none"/>
          <w:lang w:val="en-US" w:eastAsia="zh-CN"/>
        </w:rPr>
        <w:t>:</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一、</w:t>
      </w:r>
      <w:r>
        <w:rPr>
          <w:rFonts w:hint="eastAsia" w:ascii="仿宋_GB2312" w:hAnsi="仿宋_GB2312" w:eastAsia="仿宋_GB2312" w:cs="仿宋_GB2312"/>
          <w:b w:val="0"/>
          <w:bCs w:val="0"/>
          <w:i w:val="0"/>
          <w:caps w:val="0"/>
          <w:spacing w:val="0"/>
          <w:w w:val="100"/>
          <w:sz w:val="32"/>
          <w:lang w:val="en-US" w:eastAsia="zh-CN"/>
        </w:rPr>
        <w:t>为</w:t>
      </w:r>
      <w:r>
        <w:rPr>
          <w:rFonts w:hint="eastAsia" w:ascii="仿宋_GB2312" w:hAnsi="仿宋_GB2312" w:eastAsia="仿宋_GB2312" w:cs="仿宋_GB2312"/>
          <w:sz w:val="32"/>
          <w:szCs w:val="32"/>
        </w:rPr>
        <w:t>改善</w:t>
      </w:r>
      <w:r>
        <w:rPr>
          <w:rFonts w:hint="eastAsia" w:ascii="仿宋_GB2312" w:hAnsi="仿宋_GB2312" w:eastAsia="仿宋_GB2312" w:cs="仿宋_GB2312"/>
          <w:sz w:val="32"/>
          <w:szCs w:val="32"/>
          <w:lang w:val="en-US" w:eastAsia="zh-CN"/>
        </w:rPr>
        <w:t>周家塘村群众</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污水处理条件</w:t>
      </w:r>
      <w:r>
        <w:rPr>
          <w:rFonts w:hint="eastAsia" w:ascii="仿宋_GB2312" w:hAnsi="仿宋_GB2312" w:eastAsia="仿宋_GB2312" w:cs="仿宋_GB2312"/>
          <w:sz w:val="32"/>
          <w:szCs w:val="32"/>
        </w:rPr>
        <w:t>，提高人民生活质量</w:t>
      </w:r>
      <w:r>
        <w:rPr>
          <w:rFonts w:hint="eastAsia" w:ascii="Times New Roman" w:hAnsi="Times New Roman" w:eastAsia="仿宋_GB2312" w:cs="仿宋_GB2312"/>
          <w:spacing w:val="-6"/>
          <w:sz w:val="32"/>
          <w:szCs w:val="32"/>
          <w:highlight w:val="none"/>
          <w:lang w:val="en-US" w:eastAsia="zh-CN"/>
        </w:rPr>
        <w:t>。同意实施</w:t>
      </w:r>
      <w:r>
        <w:rPr>
          <w:rFonts w:hint="eastAsia" w:ascii="仿宋_GB2312" w:hAnsi="仿宋_GB2312" w:eastAsia="仿宋_GB2312" w:cs="仿宋_GB2312"/>
          <w:sz w:val="32"/>
          <w:szCs w:val="32"/>
          <w:lang w:val="en-US" w:eastAsia="zh-CN"/>
        </w:rPr>
        <w:t>木垒县照壁山乡周家塘村粪污一体化项目</w:t>
      </w:r>
      <w:r>
        <w:rPr>
          <w:rFonts w:hint="eastAsia" w:ascii="Times New Roman" w:hAnsi="Times New Roman" w:eastAsia="仿宋_GB2312" w:cs="仿宋_GB2312"/>
          <w:spacing w:val="-6"/>
          <w:sz w:val="32"/>
          <w:szCs w:val="32"/>
          <w:highlight w:val="none"/>
          <w:lang w:val="en-US" w:eastAsia="zh-CN"/>
        </w:rPr>
        <w:t>（项目代码2406-652328-04-01-701784）。</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16" w:firstLineChars="200"/>
        <w:jc w:val="both"/>
        <w:textAlignment w:val="baseline"/>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二、项目建设</w:t>
      </w:r>
      <w:r>
        <w:rPr>
          <w:rFonts w:hint="eastAsia" w:ascii="Times New Roman" w:hAnsi="Times New Roman" w:eastAsia="仿宋_GB2312" w:cs="仿宋_GB2312"/>
          <w:spacing w:val="-6"/>
          <w:sz w:val="32"/>
          <w:szCs w:val="32"/>
          <w:highlight w:val="none"/>
          <w:lang w:eastAsia="zh-CN"/>
        </w:rPr>
        <w:t>地点：</w:t>
      </w:r>
      <w:r>
        <w:rPr>
          <w:rFonts w:hint="eastAsia" w:ascii="Times New Roman" w:hAnsi="Times New Roman" w:eastAsia="仿宋_GB2312" w:cs="仿宋_GB2312"/>
          <w:spacing w:val="-6"/>
          <w:sz w:val="32"/>
          <w:szCs w:val="32"/>
          <w:highlight w:val="none"/>
          <w:lang w:val="en-US" w:eastAsia="zh-CN"/>
        </w:rPr>
        <w:t>木垒县照壁山乡</w:t>
      </w:r>
      <w:r>
        <w:rPr>
          <w:rFonts w:hint="eastAsia" w:ascii="仿宋_GB2312" w:hAnsi="仿宋_GB2312" w:eastAsia="仿宋_GB2312" w:cs="仿宋_GB2312"/>
          <w:b w:val="0"/>
          <w:i w:val="0"/>
          <w:caps w:val="0"/>
          <w:spacing w:val="0"/>
          <w:w w:val="100"/>
          <w:sz w:val="32"/>
          <w:szCs w:val="32"/>
          <w:lang w:val="en-US" w:eastAsia="zh-CN"/>
        </w:rPr>
        <w:t>周家塘村</w:t>
      </w:r>
      <w:r>
        <w:rPr>
          <w:rFonts w:hint="eastAsia" w:ascii="Times New Roman" w:hAnsi="Times New Roman" w:eastAsia="仿宋_GB2312" w:cs="Times New Roman"/>
          <w:spacing w:val="-6"/>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pacing w:line="560" w:lineRule="exact"/>
        <w:ind w:firstLine="616" w:firstLineChars="200"/>
        <w:jc w:val="left"/>
        <w:rPr>
          <w:rFonts w:hint="default" w:ascii="仿宋_GB2312" w:hAnsi="仿宋_GB2312" w:eastAsia="仿宋_GB2312" w:cs="仿宋_GB2312"/>
          <w:sz w:val="32"/>
          <w:szCs w:val="32"/>
          <w:lang w:val="en-US" w:eastAsia="zh-CN"/>
        </w:rPr>
      </w:pPr>
      <w:r>
        <w:rPr>
          <w:rFonts w:hint="eastAsia" w:ascii="Times New Roman" w:hAnsi="Times New Roman" w:eastAsia="仿宋_GB2312" w:cs="仿宋_GB2312"/>
          <w:spacing w:val="-6"/>
          <w:sz w:val="32"/>
          <w:szCs w:val="32"/>
          <w:highlight w:val="none"/>
        </w:rPr>
        <w:t>三、</w:t>
      </w:r>
      <w:r>
        <w:rPr>
          <w:rFonts w:hint="eastAsia" w:ascii="Times New Roman" w:hAnsi="Times New Roman" w:eastAsia="仿宋_GB2312" w:cs="仿宋_GB2312"/>
          <w:spacing w:val="-6"/>
          <w:sz w:val="32"/>
          <w:szCs w:val="32"/>
          <w:highlight w:val="none"/>
          <w:lang w:val="en-US" w:eastAsia="zh-CN"/>
        </w:rPr>
        <w:t>项目建设规模及主要建设内容：</w:t>
      </w:r>
      <w:r>
        <w:rPr>
          <w:rFonts w:hint="eastAsia" w:ascii="仿宋_GB2312" w:hAnsi="仿宋_GB2312" w:eastAsia="仿宋_GB2312" w:cs="仿宋_GB2312"/>
          <w:sz w:val="32"/>
          <w:szCs w:val="32"/>
          <w:lang w:val="en-US" w:eastAsia="zh-CN"/>
        </w:rPr>
        <w:t>新建DN300排水管道2600米，新建DN160排水管道2300米，路面恢复6600平方米，新建规模40立方米/每日污水处理站一座，检查井100个及配套附属设施等。</w:t>
      </w:r>
    </w:p>
    <w:p>
      <w:pPr>
        <w:keepNext w:val="0"/>
        <w:keepLines w:val="0"/>
        <w:widowControl/>
        <w:suppressLineNumbers w:val="0"/>
        <w:ind w:firstLine="616" w:firstLineChars="200"/>
        <w:jc w:val="left"/>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rPr>
        <w:t>四、</w:t>
      </w:r>
      <w:r>
        <w:rPr>
          <w:rFonts w:hint="eastAsia" w:ascii="Times New Roman" w:hAnsi="Times New Roman" w:eastAsia="仿宋_GB2312" w:cs="仿宋_GB2312"/>
          <w:spacing w:val="-6"/>
          <w:sz w:val="32"/>
          <w:szCs w:val="32"/>
          <w:lang w:val="en-US" w:eastAsia="zh-CN"/>
        </w:rPr>
        <w:t>项目总投资：</w:t>
      </w:r>
      <w:r>
        <w:rPr>
          <w:rFonts w:hint="eastAsia" w:ascii="仿宋_GB2312" w:eastAsia="仿宋_GB2312"/>
          <w:b w:val="0"/>
          <w:i w:val="0"/>
          <w:caps w:val="0"/>
          <w:spacing w:val="0"/>
          <w:w w:val="100"/>
          <w:sz w:val="32"/>
          <w:szCs w:val="32"/>
          <w:lang w:val="en-US" w:eastAsia="zh-CN"/>
        </w:rPr>
        <w:t>320</w:t>
      </w:r>
      <w:r>
        <w:rPr>
          <w:rFonts w:hint="eastAsia" w:ascii="Times New Roman" w:hAnsi="Times New Roman" w:eastAsia="仿宋_GB2312" w:cs="仿宋_GB2312"/>
          <w:spacing w:val="-6"/>
          <w:sz w:val="32"/>
          <w:szCs w:val="32"/>
          <w:lang w:val="en-US" w:eastAsia="zh-CN"/>
        </w:rPr>
        <w:t>万元，</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来源</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2024年中央土地指标跨省域调剂收入安排的支出预算 (支持农村厕所革命整村推进财政奖补 )</w:t>
      </w:r>
      <w:r>
        <w:rPr>
          <w:rFonts w:hint="eastAsia" w:ascii="Times New Roman" w:hAnsi="Times New Roman" w:eastAsia="仿宋_GB2312" w:cs="仿宋_GB2312"/>
          <w:spacing w:val="-6"/>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rPr>
        <w:t>五、</w:t>
      </w:r>
      <w:r>
        <w:rPr>
          <w:rFonts w:hint="eastAsia" w:ascii="Times New Roman" w:hAnsi="Times New Roman" w:eastAsia="仿宋_GB2312" w:cs="仿宋_GB2312"/>
          <w:spacing w:val="-6"/>
          <w:sz w:val="32"/>
          <w:szCs w:val="32"/>
          <w:lang w:val="en-US" w:eastAsia="zh-CN"/>
        </w:rPr>
        <w:t>项目单位（法人）：木垒县照壁山乡人民政府</w:t>
      </w:r>
      <w:r>
        <w:rPr>
          <w:rFonts w:hint="eastAsia" w:ascii="Times New Roman" w:hAnsi="Times New Roman" w:eastAsia="仿宋_GB2312" w:cs="方正仿宋简体"/>
          <w:spacing w:val="-6"/>
          <w:kern w:val="0"/>
          <w:sz w:val="32"/>
          <w:lang w:val="en-US" w:eastAsia="zh-CN"/>
        </w:rPr>
        <w:t>，</w:t>
      </w:r>
      <w:r>
        <w:rPr>
          <w:rFonts w:hint="eastAsia" w:ascii="Times New Roman" w:hAnsi="Times New Roman" w:eastAsia="仿宋_GB2312" w:cs="仿宋_GB2312"/>
          <w:spacing w:val="-6"/>
          <w:sz w:val="32"/>
          <w:szCs w:val="32"/>
          <w:lang w:val="en-US" w:eastAsia="zh-CN"/>
        </w:rPr>
        <w:t>负责项目的组织实施和日常管理。</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spacing w:val="-6"/>
          <w:sz w:val="32"/>
          <w:szCs w:val="32"/>
          <w:lang w:val="en-US" w:eastAsia="zh-CN"/>
        </w:rPr>
      </w:pPr>
      <w:r>
        <w:rPr>
          <w:rFonts w:hint="eastAsia" w:ascii="Times New Roman" w:hAnsi="Times New Roman" w:eastAsia="仿宋_GB2312" w:cs="仿宋_GB2312"/>
          <w:spacing w:val="-6"/>
          <w:sz w:val="32"/>
          <w:szCs w:val="32"/>
        </w:rPr>
        <w:t>六、</w:t>
      </w:r>
      <w:r>
        <w:rPr>
          <w:rFonts w:hint="eastAsia" w:ascii="Times New Roman" w:hAnsi="Times New Roman" w:eastAsia="仿宋_GB2312" w:cs="仿宋_GB2312"/>
          <w:spacing w:val="-6"/>
          <w:sz w:val="32"/>
          <w:szCs w:val="32"/>
          <w:lang w:val="en-US" w:eastAsia="zh-CN"/>
        </w:rPr>
        <w:t>项目日常监管责任单位：木垒哈萨克自治县农业农村局，负责项目的日常监管、现场核查和监督检查</w:t>
      </w:r>
      <w:r>
        <w:rPr>
          <w:rFonts w:hint="eastAsia" w:ascii="Times New Roman" w:hAnsi="Times New Roman" w:eastAsia="仿宋_GB2312"/>
          <w:spacing w:val="-6"/>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lang w:eastAsia="zh-CN"/>
        </w:rPr>
      </w:pPr>
      <w:r>
        <w:rPr>
          <w:rFonts w:hint="eastAsia" w:ascii="Times New Roman" w:hAnsi="Times New Roman" w:eastAsia="仿宋_GB2312" w:cs="仿宋_GB2312"/>
          <w:spacing w:val="-6"/>
          <w:sz w:val="32"/>
          <w:szCs w:val="32"/>
        </w:rPr>
        <w:t>七、</w:t>
      </w:r>
      <w:r>
        <w:rPr>
          <w:rFonts w:hint="eastAsia" w:ascii="Times New Roman" w:hAnsi="Times New Roman" w:eastAsia="仿宋_GB2312" w:cs="仿宋_GB2312"/>
          <w:spacing w:val="-6"/>
          <w:sz w:val="32"/>
          <w:szCs w:val="32"/>
          <w:lang w:val="en-US" w:eastAsia="zh-CN"/>
        </w:rPr>
        <w:t>项目建设期限：1年</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八、项目勘察、设计、施工、监理以及与工程建设有关的重要设备、材料等的采购应当符合《招标投标法》、《招标投标法实施条例》等规定，其招标范围、招标组织形式、招标方式等按照核准意见执行（详见附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九、请严格按照批准的可行性研究报告内容和规模组织实施，认真履行基本建设程序，严禁未经批准擅自变更建设内容和建设规模。加强项目建设管理，严格遵守项目法人责任制、招标投标制、工程监理制、合同管理制等规定，严把工程质量和安全关，确保项目早日建成发挥效益。项目开工后，及时在自治区投资项目在线审批监管平台填报项目开工、建设进度、资金使用、完工等信息，并同步上传佐证资料。</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十、请严格执行《中央预算内投资项目监督管理办法》，项目单位（法人）履行投资项目及其相应的投资计划执行的日常管理主体责任，日常监管责任单位履行投资项目建设实施日常监管及其相应的投资计划执行的直接责任，开展现场核查和监督检查，规范项目实施和资金使用，保障和提高投资综合效益。</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lang w:val="en-US" w:eastAsia="zh-CN"/>
        </w:rPr>
        <w:t>十一、</w:t>
      </w:r>
      <w:r>
        <w:rPr>
          <w:rFonts w:hint="eastAsia" w:ascii="Times New Roman" w:hAnsi="Times New Roman" w:eastAsia="仿宋_GB2312" w:cs="仿宋_GB2312"/>
          <w:spacing w:val="-6"/>
          <w:sz w:val="32"/>
          <w:szCs w:val="32"/>
          <w:highlight w:val="none"/>
          <w:lang w:val="en-US" w:eastAsia="zh-CN"/>
        </w:rPr>
        <w:t>请严格落实国家和自治区关于防范化解地方政府隐性债务风险的相关要求，多方筹措项目建设资金，严格落实资金来源，坚决防止新增地方政府隐性债务，有效防范政府债务风险。</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lang w:val="en-US" w:eastAsia="zh-CN"/>
        </w:rPr>
        <w:t>十二、</w:t>
      </w:r>
      <w:r>
        <w:rPr>
          <w:rFonts w:hint="eastAsia" w:ascii="Times New Roman" w:hAnsi="Times New Roman" w:eastAsia="仿宋_GB2312" w:cs="仿宋_GB2312"/>
          <w:spacing w:val="-6"/>
          <w:sz w:val="32"/>
          <w:szCs w:val="32"/>
          <w:highlight w:val="none"/>
          <w:lang w:val="en-US" w:eastAsia="zh-CN"/>
        </w:rPr>
        <w:t>在后续阶段，请抓紧开展各项前期工作，尽快编制初步设计，按程序报批，推动项目加快开工建设。如需对本批复文件的内容进行调整，严格按照有关规定办理。</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lang w:val="en-US" w:eastAsia="zh-CN"/>
        </w:rPr>
      </w:pPr>
      <w:r>
        <w:rPr>
          <w:rFonts w:hint="eastAsia" w:ascii="Times New Roman" w:hAnsi="Times New Roman" w:eastAsia="仿宋_GB2312" w:cs="仿宋_GB2312"/>
          <w:spacing w:val="-6"/>
          <w:sz w:val="32"/>
          <w:szCs w:val="32"/>
          <w:highlight w:val="none"/>
          <w:lang w:val="en-US" w:eastAsia="zh-CN"/>
        </w:rPr>
        <w:t>本批复文件自印发之日起，有效期一年。</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附件1-1：审批部门核准意见</w:t>
      </w: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木垒县发展和改革委员会</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2024年6月20日 </w:t>
      </w:r>
    </w:p>
    <w:p>
      <w:pPr>
        <w:pStyle w:val="5"/>
        <w:keepNext w:val="0"/>
        <w:keepLines w:val="0"/>
        <w:pageBreakBefore w:val="0"/>
        <w:widowControl w:val="0"/>
        <w:kinsoku/>
        <w:topLinePunct w:val="0"/>
        <w:autoSpaceDE/>
        <w:autoSpaceDN/>
        <w:bidi w:val="0"/>
        <w:adjustRightInd/>
        <w:spacing w:line="560" w:lineRule="exact"/>
        <w:textAlignment w:val="auto"/>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tbl>
      <w:tblPr>
        <w:tblStyle w:val="7"/>
        <w:tblW w:w="911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9115" w:type="dxa"/>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sz w:val="32"/>
                <w:szCs w:val="32"/>
                <w:u w:val="none" w:color="auto"/>
              </w:rPr>
              <w:t xml:space="preserve">木垒县发展和改革委员会      </w:t>
            </w:r>
            <w:r>
              <w:rPr>
                <w:rFonts w:hint="eastAsia" w:ascii="Times New Roman" w:hAnsi="Times New Roman" w:eastAsia="仿宋_GB2312"/>
                <w:sz w:val="32"/>
                <w:szCs w:val="32"/>
                <w:u w:val="none" w:color="auto"/>
                <w:lang w:val="en-US" w:eastAsia="zh-CN"/>
              </w:rPr>
              <w:t xml:space="preserve">  </w:t>
            </w:r>
            <w:r>
              <w:rPr>
                <w:rFonts w:hint="eastAsia" w:ascii="Times New Roman" w:hAnsi="Times New Roman" w:eastAsia="仿宋_GB2312"/>
                <w:sz w:val="32"/>
                <w:szCs w:val="32"/>
                <w:u w:val="none" w:color="auto"/>
              </w:rPr>
              <w:t xml:space="preserve">     20</w:t>
            </w:r>
            <w:r>
              <w:rPr>
                <w:rFonts w:hint="eastAsia" w:ascii="Times New Roman" w:hAnsi="Times New Roman" w:eastAsia="仿宋_GB2312"/>
                <w:sz w:val="32"/>
                <w:szCs w:val="32"/>
                <w:u w:val="none" w:color="auto"/>
                <w:lang w:val="en-US" w:eastAsia="zh-CN"/>
              </w:rPr>
              <w:t>24</w:t>
            </w:r>
            <w:r>
              <w:rPr>
                <w:rFonts w:hint="eastAsia" w:ascii="Times New Roman" w:hAnsi="Times New Roman" w:eastAsia="仿宋_GB2312"/>
                <w:sz w:val="32"/>
                <w:szCs w:val="32"/>
                <w:u w:val="none" w:color="auto"/>
              </w:rPr>
              <w:t>年</w:t>
            </w:r>
            <w:r>
              <w:rPr>
                <w:rFonts w:hint="eastAsia" w:ascii="Times New Roman" w:hAnsi="Times New Roman" w:eastAsia="仿宋_GB2312"/>
                <w:sz w:val="32"/>
                <w:szCs w:val="32"/>
                <w:u w:val="none" w:color="auto"/>
                <w:lang w:val="en-US" w:eastAsia="zh-CN"/>
              </w:rPr>
              <w:t>6</w:t>
            </w:r>
            <w:r>
              <w:rPr>
                <w:rFonts w:hint="eastAsia" w:ascii="Times New Roman" w:hAnsi="Times New Roman" w:eastAsia="仿宋_GB2312"/>
                <w:sz w:val="32"/>
                <w:szCs w:val="32"/>
                <w:u w:val="none" w:color="auto"/>
              </w:rPr>
              <w:t>月</w:t>
            </w:r>
            <w:r>
              <w:rPr>
                <w:rFonts w:hint="eastAsia" w:ascii="Times New Roman" w:hAnsi="Times New Roman" w:eastAsia="仿宋_GB2312"/>
                <w:sz w:val="32"/>
                <w:szCs w:val="32"/>
                <w:u w:val="none" w:color="auto"/>
                <w:lang w:val="en-US" w:eastAsia="zh-CN"/>
              </w:rPr>
              <w:t>20</w:t>
            </w:r>
            <w:r>
              <w:rPr>
                <w:rFonts w:hint="eastAsia" w:ascii="Times New Roman" w:hAnsi="Times New Roman" w:eastAsia="仿宋_GB2312"/>
                <w:sz w:val="32"/>
                <w:szCs w:val="32"/>
                <w:u w:val="none" w:color="auto"/>
              </w:rPr>
              <w:t>日印发</w:t>
            </w:r>
          </w:p>
        </w:tc>
      </w:tr>
    </w:tbl>
    <w:p>
      <w:pPr>
        <w:keepNext w:val="0"/>
        <w:keepLines w:val="0"/>
        <w:pageBreakBefore w:val="0"/>
        <w:widowControl w:val="0"/>
        <w:kinsoku/>
        <w:wordWrap/>
        <w:overflowPunct w:val="0"/>
        <w:topLinePunct w:val="0"/>
        <w:autoSpaceDE/>
        <w:autoSpaceDN/>
        <w:bidi w:val="0"/>
        <w:adjustRightInd/>
        <w:snapToGrid/>
        <w:spacing w:line="240" w:lineRule="auto"/>
        <w:ind w:firstLine="360" w:firstLineChars="200"/>
        <w:jc w:val="center"/>
        <w:textAlignment w:val="auto"/>
        <w:rPr>
          <w:rFonts w:hint="eastAsia" w:ascii="Times New Roman" w:hAnsi="Times New Roman" w:eastAsia="仿宋_GB2312" w:cs="仿宋_GB2312"/>
          <w:sz w:val="18"/>
          <w:szCs w:val="18"/>
          <w:lang w:val="en-US" w:eastAsia="zh-CN"/>
        </w:rPr>
      </w:pPr>
      <w:r>
        <w:rPr>
          <w:rFonts w:hint="eastAsia" w:ascii="Times New Roman" w:hAnsi="Times New Roman" w:eastAsia="仿宋_GB2312" w:cs="仿宋_GB2312"/>
          <w:sz w:val="18"/>
          <w:szCs w:val="18"/>
          <w:lang w:val="en-US" w:eastAsia="zh-CN"/>
        </w:rPr>
        <w:br w:type="page"/>
      </w:r>
    </w:p>
    <w:tbl>
      <w:tblPr>
        <w:tblStyle w:val="6"/>
        <w:tblW w:w="9117" w:type="dxa"/>
        <w:tblInd w:w="-86" w:type="dxa"/>
        <w:tblLayout w:type="fixed"/>
        <w:tblCellMar>
          <w:top w:w="15" w:type="dxa"/>
          <w:left w:w="15" w:type="dxa"/>
          <w:bottom w:w="15" w:type="dxa"/>
          <w:right w:w="15" w:type="dxa"/>
        </w:tblCellMar>
      </w:tblPr>
      <w:tblGrid>
        <w:gridCol w:w="1440"/>
        <w:gridCol w:w="1239"/>
        <w:gridCol w:w="1024"/>
        <w:gridCol w:w="968"/>
        <w:gridCol w:w="931"/>
        <w:gridCol w:w="1019"/>
        <w:gridCol w:w="996"/>
        <w:gridCol w:w="1500"/>
      </w:tblGrid>
      <w:tr>
        <w:tblPrEx>
          <w:tblLayout w:type="fixed"/>
          <w:tblCellMar>
            <w:top w:w="15" w:type="dxa"/>
            <w:left w:w="15" w:type="dxa"/>
            <w:bottom w:w="15" w:type="dxa"/>
            <w:right w:w="15" w:type="dxa"/>
          </w:tblCellMar>
        </w:tblPrEx>
        <w:trPr>
          <w:trHeight w:val="650" w:hRule="atLeast"/>
        </w:trPr>
        <w:tc>
          <w:tcPr>
            <w:tcW w:w="9117" w:type="dxa"/>
            <w:gridSpan w:val="8"/>
            <w:tcBorders>
              <w:bottom w:val="nil"/>
            </w:tcBorders>
            <w:noWrap w:val="0"/>
            <w:vAlign w:val="center"/>
          </w:tcPr>
          <w:p>
            <w:pPr>
              <w:jc w:val="left"/>
              <w:textAlignment w:val="center"/>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bidi="ar"/>
              </w:rPr>
              <w:t>附件</w:t>
            </w:r>
            <w:r>
              <w:rPr>
                <w:rFonts w:hint="eastAsia" w:ascii="Times New Roman" w:hAnsi="Times New Roman" w:eastAsia="黑体" w:cs="黑体"/>
                <w:sz w:val="22"/>
                <w:szCs w:val="22"/>
                <w:lang w:val="en-US" w:eastAsia="zh-CN" w:bidi="ar"/>
              </w:rPr>
              <w:t>1-1</w:t>
            </w:r>
          </w:p>
        </w:tc>
      </w:tr>
      <w:tr>
        <w:tblPrEx>
          <w:tblLayout w:type="fixed"/>
          <w:tblCellMar>
            <w:top w:w="15" w:type="dxa"/>
            <w:left w:w="15" w:type="dxa"/>
            <w:bottom w:w="15" w:type="dxa"/>
            <w:right w:w="15" w:type="dxa"/>
          </w:tblCellMar>
        </w:tblPrEx>
        <w:trPr>
          <w:trHeight w:val="752" w:hRule="atLeast"/>
        </w:trPr>
        <w:tc>
          <w:tcPr>
            <w:tcW w:w="9117" w:type="dxa"/>
            <w:gridSpan w:val="8"/>
            <w:tcBorders>
              <w:top w:val="nil"/>
              <w:left w:val="nil"/>
              <w:bottom w:val="nil"/>
              <w:right w:val="nil"/>
            </w:tcBorders>
            <w:noWrap w:val="0"/>
            <w:vAlign w:val="center"/>
          </w:tcPr>
          <w:p>
            <w:pPr>
              <w:jc w:val="center"/>
              <w:textAlignment w:val="center"/>
              <w:rPr>
                <w:rFonts w:hint="eastAsia" w:ascii="Times New Roman" w:hAnsi="Times New Roman" w:eastAsia="黑体" w:cs="黑体"/>
                <w:sz w:val="32"/>
                <w:szCs w:val="32"/>
              </w:rPr>
            </w:pPr>
            <w:r>
              <w:rPr>
                <w:rFonts w:hint="eastAsia" w:ascii="Times New Roman" w:hAnsi="Times New Roman" w:eastAsia="黑体" w:cs="黑体"/>
                <w:sz w:val="32"/>
                <w:szCs w:val="32"/>
                <w:lang w:bidi="ar"/>
              </w:rPr>
              <w:t>审核部门核准意见</w:t>
            </w:r>
          </w:p>
        </w:tc>
      </w:tr>
      <w:tr>
        <w:tblPrEx>
          <w:tblLayout w:type="fixed"/>
          <w:tblCellMar>
            <w:top w:w="15" w:type="dxa"/>
            <w:left w:w="15" w:type="dxa"/>
            <w:bottom w:w="15" w:type="dxa"/>
            <w:right w:w="15" w:type="dxa"/>
          </w:tblCellMar>
        </w:tblPrEx>
        <w:trPr>
          <w:trHeight w:val="866" w:hRule="atLeast"/>
        </w:trPr>
        <w:tc>
          <w:tcPr>
            <w:tcW w:w="9117" w:type="dxa"/>
            <w:gridSpan w:val="8"/>
            <w:tcBorders>
              <w:top w:val="nil"/>
              <w:left w:val="nil"/>
              <w:bottom w:val="single" w:color="000000" w:sz="4" w:space="0"/>
              <w:right w:val="nil"/>
            </w:tcBorders>
            <w:noWrap w:val="0"/>
            <w:vAlign w:val="center"/>
          </w:tcPr>
          <w:p>
            <w:pPr>
              <w:jc w:val="left"/>
              <w:textAlignment w:val="center"/>
              <w:rPr>
                <w:rFonts w:hint="default" w:ascii="Times New Roman" w:hAnsi="Times New Roman" w:eastAsia="黑体" w:cs="黑体"/>
                <w:sz w:val="22"/>
                <w:szCs w:val="22"/>
                <w:lang w:val="en-US"/>
              </w:rPr>
            </w:pPr>
            <w:r>
              <w:rPr>
                <w:rFonts w:hint="eastAsia" w:ascii="Times New Roman" w:hAnsi="Times New Roman" w:eastAsia="黑体" w:cs="黑体"/>
                <w:sz w:val="22"/>
                <w:szCs w:val="22"/>
                <w:lang w:bidi="ar"/>
              </w:rPr>
              <w:t>建设项目名</w:t>
            </w:r>
            <w:r>
              <w:rPr>
                <w:rFonts w:hint="eastAsia" w:ascii="Times New Roman" w:hAnsi="Times New Roman" w:eastAsia="黑体" w:cs="黑体"/>
                <w:sz w:val="22"/>
                <w:szCs w:val="22"/>
                <w:lang w:val="en-US" w:eastAsia="zh-CN" w:bidi="ar"/>
              </w:rPr>
              <w:t>称:木垒县照壁山乡周家塘村粪污一体化项目</w:t>
            </w:r>
          </w:p>
        </w:tc>
      </w:tr>
      <w:tr>
        <w:tblPrEx>
          <w:tblLayout w:type="fixed"/>
          <w:tblCellMar>
            <w:top w:w="15" w:type="dxa"/>
            <w:left w:w="15" w:type="dxa"/>
            <w:bottom w:w="15" w:type="dxa"/>
            <w:right w:w="15" w:type="dxa"/>
          </w:tblCellMar>
        </w:tblPrEx>
        <w:trPr>
          <w:trHeight w:val="473" w:hRule="atLeast"/>
        </w:trPr>
        <w:tc>
          <w:tcPr>
            <w:tcW w:w="1440" w:type="dxa"/>
            <w:vMerge w:val="restart"/>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c>
          <w:tcPr>
            <w:tcW w:w="22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招标范围</w:t>
            </w:r>
          </w:p>
        </w:tc>
        <w:tc>
          <w:tcPr>
            <w:tcW w:w="189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招标组织形式</w:t>
            </w:r>
          </w:p>
        </w:tc>
        <w:tc>
          <w:tcPr>
            <w:tcW w:w="20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招标方式</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不</w:t>
            </w:r>
            <w:r>
              <w:rPr>
                <w:rFonts w:hint="eastAsia" w:ascii="Times New Roman" w:hAnsi="Times New Roman" w:eastAsia="黑体" w:cs="黑体"/>
                <w:sz w:val="22"/>
                <w:szCs w:val="22"/>
                <w:lang w:val="en-US" w:eastAsia="zh-CN" w:bidi="ar"/>
              </w:rPr>
              <w:t xml:space="preserve"> </w:t>
            </w:r>
            <w:r>
              <w:rPr>
                <w:rFonts w:hint="eastAsia" w:ascii="Times New Roman" w:hAnsi="Times New Roman" w:eastAsia="黑体" w:cs="黑体"/>
                <w:sz w:val="22"/>
                <w:szCs w:val="22"/>
                <w:lang w:bidi="ar"/>
              </w:rPr>
              <w:t>采</w:t>
            </w:r>
            <w:r>
              <w:rPr>
                <w:rFonts w:hint="eastAsia" w:ascii="Times New Roman" w:hAnsi="Times New Roman" w:eastAsia="黑体" w:cs="黑体"/>
                <w:sz w:val="22"/>
                <w:szCs w:val="22"/>
                <w:lang w:val="en-US" w:eastAsia="zh-CN" w:bidi="ar"/>
              </w:rPr>
              <w:t xml:space="preserve"> </w:t>
            </w:r>
            <w:r>
              <w:rPr>
                <w:rFonts w:hint="eastAsia" w:ascii="Times New Roman" w:hAnsi="Times New Roman" w:eastAsia="黑体" w:cs="黑体"/>
                <w:sz w:val="22"/>
                <w:szCs w:val="22"/>
                <w:lang w:bidi="ar"/>
              </w:rPr>
              <w:t>用</w:t>
            </w:r>
            <w:r>
              <w:rPr>
                <w:rFonts w:hint="eastAsia" w:ascii="Times New Roman" w:hAnsi="Times New Roman" w:eastAsia="黑体" w:cs="黑体"/>
                <w:sz w:val="22"/>
                <w:szCs w:val="22"/>
                <w:lang w:bidi="ar"/>
              </w:rPr>
              <w:br w:type="textWrapping"/>
            </w:r>
            <w:r>
              <w:rPr>
                <w:rFonts w:hint="eastAsia" w:ascii="Times New Roman" w:hAnsi="Times New Roman" w:eastAsia="黑体" w:cs="黑体"/>
                <w:sz w:val="22"/>
                <w:szCs w:val="22"/>
                <w:lang w:bidi="ar"/>
              </w:rPr>
              <w:t>招标方式</w:t>
            </w:r>
          </w:p>
        </w:tc>
      </w:tr>
      <w:tr>
        <w:tblPrEx>
          <w:tblLayout w:type="fixed"/>
          <w:tblCellMar>
            <w:top w:w="15" w:type="dxa"/>
            <w:left w:w="15" w:type="dxa"/>
            <w:bottom w:w="15" w:type="dxa"/>
            <w:right w:w="15" w:type="dxa"/>
          </w:tblCellMar>
        </w:tblPrEx>
        <w:trPr>
          <w:trHeight w:val="600" w:hRule="atLeast"/>
        </w:trPr>
        <w:tc>
          <w:tcPr>
            <w:tcW w:w="14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全部招标</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部分招标</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自行招标</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委托招标</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公开招标</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邀请招标</w:t>
            </w: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r>
      <w:tr>
        <w:tblPrEx>
          <w:tblLayout w:type="fixed"/>
          <w:tblCellMar>
            <w:top w:w="15" w:type="dxa"/>
            <w:left w:w="15" w:type="dxa"/>
            <w:bottom w:w="15" w:type="dxa"/>
            <w:right w:w="15" w:type="dxa"/>
          </w:tblCellMar>
        </w:tblPrEx>
        <w:trPr>
          <w:trHeight w:val="449"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勘察</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Layout w:type="fixed"/>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设计</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Layout w:type="fixed"/>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建筑工程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Layout w:type="fixed"/>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安装工程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Layout w:type="fixed"/>
          <w:tblCellMar>
            <w:top w:w="15" w:type="dxa"/>
            <w:left w:w="15" w:type="dxa"/>
            <w:bottom w:w="15" w:type="dxa"/>
            <w:right w:w="15" w:type="dxa"/>
          </w:tblCellMar>
        </w:tblPrEx>
        <w:trPr>
          <w:trHeight w:val="416"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监理</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Layout w:type="fixed"/>
          <w:tblCellMar>
            <w:top w:w="15" w:type="dxa"/>
            <w:left w:w="15" w:type="dxa"/>
            <w:bottom w:w="15" w:type="dxa"/>
            <w:right w:w="15" w:type="dxa"/>
          </w:tblCellMar>
        </w:tblPrEx>
        <w:trPr>
          <w:trHeight w:val="38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设备</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Layout w:type="fixed"/>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重要材料</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Layout w:type="fixed"/>
          <w:tblCellMar>
            <w:top w:w="15" w:type="dxa"/>
            <w:left w:w="15" w:type="dxa"/>
            <w:bottom w:w="15" w:type="dxa"/>
            <w:right w:w="15" w:type="dxa"/>
          </w:tblCellMar>
        </w:tblPrEx>
        <w:trPr>
          <w:trHeight w:val="546" w:hRule="atLeast"/>
        </w:trPr>
        <w:tc>
          <w:tcPr>
            <w:tcW w:w="1440" w:type="dxa"/>
            <w:tcBorders>
              <w:top w:val="single" w:color="000000" w:sz="4" w:space="0"/>
              <w:left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其他</w:t>
            </w:r>
          </w:p>
        </w:tc>
        <w:tc>
          <w:tcPr>
            <w:tcW w:w="123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Layout w:type="fixed"/>
          <w:tblCellMar>
            <w:top w:w="15" w:type="dxa"/>
            <w:left w:w="15" w:type="dxa"/>
            <w:bottom w:w="15" w:type="dxa"/>
            <w:right w:w="15" w:type="dxa"/>
          </w:tblCellMar>
        </w:tblPrEx>
        <w:trPr>
          <w:trHeight w:val="5385" w:hRule="atLeast"/>
        </w:trPr>
        <w:tc>
          <w:tcPr>
            <w:tcW w:w="9117"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Times New Roman" w:hAnsi="Times New Roman" w:eastAsia="黑体" w:cs="黑体"/>
                <w:sz w:val="22"/>
                <w:szCs w:val="22"/>
                <w:lang w:bidi="ar"/>
              </w:rPr>
            </w:pPr>
            <w:r>
              <w:rPr>
                <w:rFonts w:hint="eastAsia" w:ascii="Times New Roman" w:hAnsi="Times New Roman" w:eastAsia="黑体" w:cs="黑体"/>
                <w:sz w:val="22"/>
                <w:szCs w:val="22"/>
                <w:lang w:bidi="ar"/>
              </w:rPr>
              <w:t>审核部门核准意见说明：</w:t>
            </w:r>
          </w:p>
          <w:p>
            <w:pPr>
              <w:pStyle w:val="5"/>
              <w:rPr>
                <w:rFonts w:hint="eastAsia" w:ascii="Times New Roman" w:hAnsi="Times New Roman" w:eastAsia="黑体" w:cs="黑体"/>
                <w:sz w:val="22"/>
                <w:szCs w:val="22"/>
                <w:lang w:bidi="ar"/>
              </w:rPr>
            </w:pPr>
          </w:p>
          <w:p>
            <w:pPr>
              <w:rPr>
                <w:rFonts w:hint="eastAsia" w:ascii="Times New Roman" w:hAnsi="Times New Roman" w:eastAsia="黑体" w:cs="黑体"/>
                <w:sz w:val="22"/>
                <w:szCs w:val="22"/>
                <w:lang w:bidi="ar"/>
              </w:rPr>
            </w:pPr>
          </w:p>
          <w:p>
            <w:pPr>
              <w:pStyle w:val="5"/>
              <w:rPr>
                <w:rFonts w:hint="eastAsia"/>
              </w:rPr>
            </w:pPr>
          </w:p>
          <w:p>
            <w:pPr>
              <w:rPr>
                <w:rFonts w:hint="eastAsia"/>
              </w:rPr>
            </w:pPr>
          </w:p>
          <w:p>
            <w:pPr>
              <w:rPr>
                <w:rFonts w:hint="eastAsia"/>
              </w:rPr>
            </w:pPr>
          </w:p>
          <w:p>
            <w:pPr>
              <w:spacing w:line="480" w:lineRule="auto"/>
              <w:jc w:val="center"/>
              <w:textAlignment w:val="center"/>
              <w:rPr>
                <w:rFonts w:hint="eastAsia" w:ascii="Times New Roman" w:hAnsi="Times New Roman" w:eastAsia="黑体" w:cs="黑体"/>
                <w:sz w:val="44"/>
                <w:szCs w:val="44"/>
                <w:lang w:val="en-US" w:eastAsia="zh-CN" w:bidi="ar"/>
              </w:rPr>
            </w:pPr>
            <w:r>
              <w:rPr>
                <w:rFonts w:hint="eastAsia" w:ascii="Times New Roman" w:hAnsi="Times New Roman" w:eastAsia="黑体" w:cs="黑体"/>
                <w:sz w:val="44"/>
                <w:szCs w:val="44"/>
                <w:lang w:val="en-US" w:eastAsia="zh-CN" w:bidi="ar"/>
              </w:rPr>
              <w:t>核准</w:t>
            </w:r>
          </w:p>
          <w:p>
            <w:pPr>
              <w:pStyle w:val="5"/>
              <w:rPr>
                <w:rFonts w:hint="eastAsia" w:ascii="Times New Roman" w:hAnsi="Times New Roman" w:eastAsia="黑体" w:cs="黑体"/>
                <w:sz w:val="22"/>
                <w:szCs w:val="22"/>
                <w:lang w:bidi="ar"/>
              </w:rPr>
            </w:pPr>
          </w:p>
          <w:p>
            <w:pPr>
              <w:rPr>
                <w:rFonts w:hint="eastAsia" w:ascii="Times New Roman" w:hAnsi="Times New Roman" w:eastAsia="黑体" w:cs="黑体"/>
                <w:sz w:val="22"/>
                <w:szCs w:val="22"/>
                <w:lang w:bidi="ar"/>
              </w:rPr>
            </w:pPr>
          </w:p>
          <w:p>
            <w:pPr>
              <w:jc w:val="both"/>
              <w:rPr>
                <w:rFonts w:hint="eastAsia" w:ascii="Times New Roman" w:hAnsi="Times New Roman" w:eastAsia="黑体" w:cs="黑体"/>
                <w:sz w:val="24"/>
                <w:szCs w:val="24"/>
              </w:rPr>
            </w:pP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r>
              <w:rPr>
                <w:rFonts w:hint="eastAsia" w:ascii="Times New Roman" w:hAnsi="Times New Roman" w:eastAsia="黑体" w:cs="黑体"/>
                <w:sz w:val="28"/>
                <w:szCs w:val="28"/>
                <w:lang w:bidi="ar"/>
              </w:rPr>
              <w:t xml:space="preserve"> 审批部门盖章                                                            </w:t>
            </w: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rPr>
            </w:pPr>
            <w:r>
              <w:rPr>
                <w:rFonts w:hint="eastAsia" w:ascii="Times New Roman" w:hAnsi="Times New Roman" w:eastAsia="黑体" w:cs="黑体"/>
                <w:sz w:val="28"/>
                <w:szCs w:val="28"/>
                <w:lang w:val="en-US" w:eastAsia="zh-CN" w:bidi="ar"/>
              </w:rPr>
              <w:t xml:space="preserve">                                      </w:t>
            </w:r>
            <w:r>
              <w:rPr>
                <w:rFonts w:hint="eastAsia" w:ascii="黑体" w:hAnsi="黑体" w:eastAsia="黑体" w:cs="黑体"/>
                <w:sz w:val="28"/>
                <w:szCs w:val="28"/>
                <w:lang w:bidi="ar"/>
              </w:rPr>
              <w:t>20</w:t>
            </w:r>
            <w:r>
              <w:rPr>
                <w:rFonts w:hint="eastAsia" w:ascii="黑体" w:hAnsi="黑体" w:eastAsia="黑体" w:cs="黑体"/>
                <w:sz w:val="28"/>
                <w:szCs w:val="28"/>
                <w:lang w:val="en-US" w:eastAsia="zh-CN" w:bidi="ar"/>
              </w:rPr>
              <w:t>24</w:t>
            </w:r>
            <w:r>
              <w:rPr>
                <w:rFonts w:hint="eastAsia" w:ascii="黑体" w:hAnsi="黑体" w:eastAsia="黑体" w:cs="黑体"/>
                <w:sz w:val="28"/>
                <w:szCs w:val="28"/>
                <w:lang w:bidi="ar"/>
              </w:rPr>
              <w:t>年</w:t>
            </w:r>
            <w:r>
              <w:rPr>
                <w:rFonts w:hint="eastAsia" w:ascii="黑体" w:hAnsi="黑体" w:eastAsia="黑体" w:cs="黑体"/>
                <w:sz w:val="28"/>
                <w:szCs w:val="28"/>
                <w:lang w:val="en-US" w:eastAsia="zh-CN" w:bidi="ar"/>
              </w:rPr>
              <w:t>6</w:t>
            </w:r>
            <w:r>
              <w:rPr>
                <w:rFonts w:hint="eastAsia" w:ascii="黑体" w:hAnsi="黑体" w:eastAsia="黑体" w:cs="黑体"/>
                <w:sz w:val="28"/>
                <w:szCs w:val="28"/>
                <w:lang w:bidi="ar"/>
              </w:rPr>
              <w:t>月</w:t>
            </w:r>
            <w:r>
              <w:rPr>
                <w:rFonts w:hint="eastAsia" w:ascii="黑体" w:hAnsi="黑体" w:eastAsia="黑体" w:cs="黑体"/>
                <w:sz w:val="28"/>
                <w:szCs w:val="28"/>
                <w:lang w:val="en-US" w:eastAsia="zh-CN" w:bidi="ar"/>
              </w:rPr>
              <w:t>20</w:t>
            </w:r>
            <w:r>
              <w:rPr>
                <w:rFonts w:hint="eastAsia" w:ascii="黑体" w:hAnsi="黑体" w:eastAsia="黑体" w:cs="黑体"/>
                <w:sz w:val="28"/>
                <w:szCs w:val="28"/>
                <w:lang w:bidi="ar"/>
              </w:rPr>
              <w:t>日</w:t>
            </w:r>
          </w:p>
        </w:tc>
      </w:tr>
      <w:tr>
        <w:tblPrEx>
          <w:tblLayout w:type="fixed"/>
          <w:tblCellMar>
            <w:top w:w="15" w:type="dxa"/>
            <w:left w:w="15" w:type="dxa"/>
            <w:bottom w:w="15" w:type="dxa"/>
            <w:right w:w="15" w:type="dxa"/>
          </w:tblCellMar>
        </w:tblPrEx>
        <w:trPr>
          <w:trHeight w:val="285" w:hRule="atLeast"/>
        </w:trPr>
        <w:tc>
          <w:tcPr>
            <w:tcW w:w="9117" w:type="dxa"/>
            <w:gridSpan w:val="8"/>
            <w:noWrap w:val="0"/>
            <w:vAlign w:val="center"/>
          </w:tcPr>
          <w:p>
            <w:pPr>
              <w:jc w:val="left"/>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注：审批部门在空格注明“核准”或者“不予核准”</w:t>
            </w:r>
          </w:p>
        </w:tc>
      </w:tr>
    </w:tbl>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eastAsia" w:ascii="Times New Roman" w:hAnsi="Times New Roman" w:eastAsia="仿宋_GB2312" w:cs="仿宋_GB2312"/>
          <w:sz w:val="18"/>
          <w:szCs w:val="18"/>
          <w:lang w:val="en-US" w:eastAsia="zh-CN"/>
        </w:rPr>
      </w:pPr>
    </w:p>
    <w:sectPr>
      <w:pgSz w:w="11850" w:h="16784"/>
      <w:pgMar w:top="1587" w:right="1474" w:bottom="1474" w:left="1587"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ZDkzMDNiNzdlM2ZhNjc1NGY5NDlmMjgwYTA2ZjMifQ=="/>
    <w:docVar w:name="KSO_WPS_MARK_KEY" w:val="f19bada9-a45d-4096-a61c-369f3d5301e8"/>
  </w:docVars>
  <w:rsids>
    <w:rsidRoot w:val="73A67976"/>
    <w:rsid w:val="00AF646B"/>
    <w:rsid w:val="00DA5E8E"/>
    <w:rsid w:val="017B0454"/>
    <w:rsid w:val="034176DE"/>
    <w:rsid w:val="03A04F32"/>
    <w:rsid w:val="03B3529D"/>
    <w:rsid w:val="03C67388"/>
    <w:rsid w:val="04DA30D9"/>
    <w:rsid w:val="0524013F"/>
    <w:rsid w:val="05600283"/>
    <w:rsid w:val="05D67331"/>
    <w:rsid w:val="0862318E"/>
    <w:rsid w:val="0A0337A1"/>
    <w:rsid w:val="0A35128A"/>
    <w:rsid w:val="0ADC5FD8"/>
    <w:rsid w:val="0ADF620E"/>
    <w:rsid w:val="0B7B46FE"/>
    <w:rsid w:val="0C550884"/>
    <w:rsid w:val="0C6E7275"/>
    <w:rsid w:val="0C711B61"/>
    <w:rsid w:val="0DC25334"/>
    <w:rsid w:val="0E1D53EF"/>
    <w:rsid w:val="0E827BEC"/>
    <w:rsid w:val="0FA20CC8"/>
    <w:rsid w:val="0FA7589A"/>
    <w:rsid w:val="106D3134"/>
    <w:rsid w:val="112C6D0A"/>
    <w:rsid w:val="11F15837"/>
    <w:rsid w:val="11F54A16"/>
    <w:rsid w:val="127C5A5A"/>
    <w:rsid w:val="12B20000"/>
    <w:rsid w:val="133C654F"/>
    <w:rsid w:val="153D4CD7"/>
    <w:rsid w:val="15597689"/>
    <w:rsid w:val="176F3141"/>
    <w:rsid w:val="17C67534"/>
    <w:rsid w:val="19A22731"/>
    <w:rsid w:val="1AA90BF1"/>
    <w:rsid w:val="1B79605F"/>
    <w:rsid w:val="1C8E7BC6"/>
    <w:rsid w:val="1CDD0197"/>
    <w:rsid w:val="1D104875"/>
    <w:rsid w:val="1E0551CC"/>
    <w:rsid w:val="1E076C82"/>
    <w:rsid w:val="1E42335E"/>
    <w:rsid w:val="1E432C32"/>
    <w:rsid w:val="1E9D3BAA"/>
    <w:rsid w:val="1EBF12DA"/>
    <w:rsid w:val="1F910231"/>
    <w:rsid w:val="22645651"/>
    <w:rsid w:val="228F5316"/>
    <w:rsid w:val="24D1677D"/>
    <w:rsid w:val="2509135D"/>
    <w:rsid w:val="251D1329"/>
    <w:rsid w:val="255F7299"/>
    <w:rsid w:val="276739A8"/>
    <w:rsid w:val="27AF717F"/>
    <w:rsid w:val="284F5201"/>
    <w:rsid w:val="287F362C"/>
    <w:rsid w:val="28B202D1"/>
    <w:rsid w:val="29791BFE"/>
    <w:rsid w:val="2ACC3538"/>
    <w:rsid w:val="2B632B65"/>
    <w:rsid w:val="2B722069"/>
    <w:rsid w:val="2B7F7BE5"/>
    <w:rsid w:val="2BB65DDD"/>
    <w:rsid w:val="2BCA120E"/>
    <w:rsid w:val="2EB57234"/>
    <w:rsid w:val="2F115E33"/>
    <w:rsid w:val="2FDB2CCA"/>
    <w:rsid w:val="2FE778C1"/>
    <w:rsid w:val="306308F3"/>
    <w:rsid w:val="316A1E7D"/>
    <w:rsid w:val="32D04EE7"/>
    <w:rsid w:val="381B7B8F"/>
    <w:rsid w:val="397C0125"/>
    <w:rsid w:val="3A315BB2"/>
    <w:rsid w:val="3A494027"/>
    <w:rsid w:val="3AB74DDD"/>
    <w:rsid w:val="3C3A521C"/>
    <w:rsid w:val="3C844DC4"/>
    <w:rsid w:val="3D4E0F7F"/>
    <w:rsid w:val="3D7A2EC4"/>
    <w:rsid w:val="3E5F6CF9"/>
    <w:rsid w:val="3F162EEE"/>
    <w:rsid w:val="3F330503"/>
    <w:rsid w:val="3FB92AD4"/>
    <w:rsid w:val="411728A5"/>
    <w:rsid w:val="418A2377"/>
    <w:rsid w:val="41EF23BA"/>
    <w:rsid w:val="43213DE3"/>
    <w:rsid w:val="43741014"/>
    <w:rsid w:val="447B69B3"/>
    <w:rsid w:val="45D725A2"/>
    <w:rsid w:val="47D159DD"/>
    <w:rsid w:val="48D23907"/>
    <w:rsid w:val="495E1254"/>
    <w:rsid w:val="4A513E5D"/>
    <w:rsid w:val="4ABF5BFF"/>
    <w:rsid w:val="4ACE3438"/>
    <w:rsid w:val="4AE25D59"/>
    <w:rsid w:val="4B753C73"/>
    <w:rsid w:val="4C35316B"/>
    <w:rsid w:val="4C9345C9"/>
    <w:rsid w:val="4D9705EA"/>
    <w:rsid w:val="4DE23569"/>
    <w:rsid w:val="4E7424E1"/>
    <w:rsid w:val="50245B53"/>
    <w:rsid w:val="508036EE"/>
    <w:rsid w:val="51555EAB"/>
    <w:rsid w:val="52AC362B"/>
    <w:rsid w:val="542E15C4"/>
    <w:rsid w:val="54594C92"/>
    <w:rsid w:val="54847B51"/>
    <w:rsid w:val="56091A90"/>
    <w:rsid w:val="572428C2"/>
    <w:rsid w:val="57B82964"/>
    <w:rsid w:val="5837306F"/>
    <w:rsid w:val="58966525"/>
    <w:rsid w:val="58B56D36"/>
    <w:rsid w:val="58D473C9"/>
    <w:rsid w:val="59174A0D"/>
    <w:rsid w:val="59E03A2B"/>
    <w:rsid w:val="5C8A6B83"/>
    <w:rsid w:val="5CF214D0"/>
    <w:rsid w:val="5DD376C4"/>
    <w:rsid w:val="5E76463C"/>
    <w:rsid w:val="5F553DA0"/>
    <w:rsid w:val="5F5C0E82"/>
    <w:rsid w:val="5FA61F01"/>
    <w:rsid w:val="5FF778F0"/>
    <w:rsid w:val="602D102C"/>
    <w:rsid w:val="60953E97"/>
    <w:rsid w:val="60A6456E"/>
    <w:rsid w:val="62782477"/>
    <w:rsid w:val="63542768"/>
    <w:rsid w:val="64F32E41"/>
    <w:rsid w:val="654A5CCA"/>
    <w:rsid w:val="65BD34FD"/>
    <w:rsid w:val="663A7A43"/>
    <w:rsid w:val="66CD6B09"/>
    <w:rsid w:val="67E604D7"/>
    <w:rsid w:val="69343E00"/>
    <w:rsid w:val="69552C38"/>
    <w:rsid w:val="6A0018A7"/>
    <w:rsid w:val="6A695C0E"/>
    <w:rsid w:val="6B384507"/>
    <w:rsid w:val="6B455C07"/>
    <w:rsid w:val="6C0144B9"/>
    <w:rsid w:val="6C5D4159"/>
    <w:rsid w:val="6CBE1B8F"/>
    <w:rsid w:val="6D973994"/>
    <w:rsid w:val="6DFA4688"/>
    <w:rsid w:val="6F0E430A"/>
    <w:rsid w:val="6F1F7EE0"/>
    <w:rsid w:val="6F2C6506"/>
    <w:rsid w:val="6F5F2A9C"/>
    <w:rsid w:val="6FCC0136"/>
    <w:rsid w:val="7047599B"/>
    <w:rsid w:val="70FF6B30"/>
    <w:rsid w:val="711060E4"/>
    <w:rsid w:val="717F13BB"/>
    <w:rsid w:val="71880C5D"/>
    <w:rsid w:val="733C55E2"/>
    <w:rsid w:val="73A67976"/>
    <w:rsid w:val="752E6AED"/>
    <w:rsid w:val="75C64E50"/>
    <w:rsid w:val="75C946B0"/>
    <w:rsid w:val="75E67C61"/>
    <w:rsid w:val="76015AD0"/>
    <w:rsid w:val="76107DFA"/>
    <w:rsid w:val="773D78F1"/>
    <w:rsid w:val="78574485"/>
    <w:rsid w:val="78B939EA"/>
    <w:rsid w:val="78E25BD0"/>
    <w:rsid w:val="79367053"/>
    <w:rsid w:val="7A884B78"/>
    <w:rsid w:val="7B0C59D5"/>
    <w:rsid w:val="7B364826"/>
    <w:rsid w:val="7B56460B"/>
    <w:rsid w:val="7BAB356C"/>
    <w:rsid w:val="7C573113"/>
    <w:rsid w:val="7C94044F"/>
    <w:rsid w:val="7CBF1F74"/>
    <w:rsid w:val="7CFB4952"/>
    <w:rsid w:val="7E6402D0"/>
    <w:rsid w:val="7EBF7CD2"/>
    <w:rsid w:val="7FD95D07"/>
    <w:rsid w:val="7FEC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toc 3"/>
    <w:basedOn w:val="1"/>
    <w:next w:val="1"/>
    <w:qFormat/>
    <w:uiPriority w:val="0"/>
    <w:pPr>
      <w:ind w:left="560"/>
      <w:jc w:val="left"/>
    </w:pPr>
    <w:rPr>
      <w:rFonts w:ascii="Calibri" w:hAnsi="Calibri" w:cs="Calibri"/>
      <w:i/>
      <w:iCs/>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15"/>
    <w:basedOn w:val="8"/>
    <w:qFormat/>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1243</Words>
  <Characters>1313</Characters>
  <Lines>0</Lines>
  <Paragraphs>0</Paragraphs>
  <TotalTime>2</TotalTime>
  <ScaleCrop>false</ScaleCrop>
  <LinksUpToDate>false</LinksUpToDate>
  <CharactersWithSpaces>1553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2019-01-08T03:23:00Z</dcterms:created>
  <dc:creator>樱桃</dc:creator>
  <cp:lastModifiedBy>Administrator</cp:lastModifiedBy>
  <cp:lastPrinted>2024-05-23T11:48:00Z</cp:lastPrinted>
  <dcterms:modified xsi:type="dcterms:W3CDTF">2024-07-30T04:55:36Z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4D5883571AA5425EBA6652D3FD0D78F4</vt:lpwstr>
  </property>
</Properties>
</file>