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snapToGrid w:val="0"/>
        <w:spacing w:line="560" w:lineRule="exact"/>
        <w:jc w:val="center"/>
        <w:rPr>
          <w:rFonts w:hint="eastAsia"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60" w:lineRule="exact"/>
        <w:jc w:val="center"/>
        <w:rPr>
          <w:rFonts w:ascii="Times New Roman" w:hAnsi="Times New Roman"/>
        </w:rPr>
      </w:pPr>
    </w:p>
    <w:p>
      <w:pPr>
        <w:widowControl w:val="0"/>
        <w:snapToGrid w:val="0"/>
        <w:spacing w:line="540" w:lineRule="exact"/>
        <w:jc w:val="center"/>
        <w:rPr>
          <w:rFonts w:ascii="Times New Roman" w:hAnsi="Times New Roman"/>
        </w:rPr>
      </w:pPr>
    </w:p>
    <w:p>
      <w:pPr>
        <w:widowControl w:val="0"/>
        <w:snapToGrid w:val="0"/>
        <w:spacing w:line="540" w:lineRule="exact"/>
        <w:jc w:val="center"/>
        <w:rPr>
          <w:rFonts w:ascii="Times New Roman" w:hAnsi="Times New Roman"/>
        </w:rPr>
      </w:pPr>
    </w:p>
    <w:p>
      <w:pPr>
        <w:pStyle w:val="2"/>
      </w:pPr>
    </w:p>
    <w:p>
      <w:pPr>
        <w:keepNext w:val="0"/>
        <w:keepLines w:val="0"/>
        <w:pageBreakBefore w:val="0"/>
        <w:widowControl w:val="0"/>
        <w:kinsoku/>
        <w:wordWrap/>
        <w:topLinePunct w:val="0"/>
        <w:autoSpaceDE/>
        <w:autoSpaceDN/>
        <w:bidi w:val="0"/>
        <w:adjustRightInd/>
        <w:snapToGrid w:val="0"/>
        <w:spacing w:line="560" w:lineRule="exact"/>
        <w:jc w:val="center"/>
        <w:textAlignment w:val="auto"/>
        <w:outlineLvl w:val="0"/>
        <w:rPr>
          <w:rFonts w:hint="eastAsia" w:ascii="Times New Roman" w:hAnsi="Times New Roman" w:eastAsia="仿宋_GB2312"/>
          <w:sz w:val="32"/>
          <w:szCs w:val="32"/>
        </w:rPr>
      </w:pPr>
      <w:r>
        <w:rPr>
          <w:rFonts w:hint="eastAsia" w:ascii="Times New Roman" w:hAnsi="Times New Roman" w:eastAsia="仿宋_GB2312"/>
          <w:sz w:val="32"/>
          <w:szCs w:val="32"/>
        </w:rPr>
        <w:t>木发改字〔20</w:t>
      </w:r>
      <w:r>
        <w:rPr>
          <w:rFonts w:hint="eastAsia" w:ascii="Times New Roman" w:hAnsi="Times New Roman" w:eastAsia="仿宋_GB2312"/>
          <w:sz w:val="32"/>
          <w:szCs w:val="32"/>
          <w:lang w:val="en-US" w:eastAsia="zh-CN"/>
        </w:rPr>
        <w:t>24</w:t>
      </w:r>
      <w:r>
        <w:rPr>
          <w:rFonts w:hint="eastAsia" w:ascii="Times New Roman" w:hAnsi="Times New Roman" w:eastAsia="仿宋_GB2312"/>
          <w:sz w:val="32"/>
          <w:szCs w:val="32"/>
        </w:rPr>
        <w:t>〕</w:t>
      </w:r>
      <w:r>
        <w:rPr>
          <w:rFonts w:hint="eastAsia" w:ascii="Times New Roman" w:hAnsi="Times New Roman" w:eastAsia="仿宋_GB2312"/>
          <w:sz w:val="32"/>
          <w:szCs w:val="32"/>
          <w:lang w:val="en-US" w:eastAsia="zh-CN"/>
        </w:rPr>
        <w:t>225</w:t>
      </w:r>
      <w:r>
        <w:rPr>
          <w:rFonts w:hint="eastAsia" w:ascii="Times New Roman" w:hAnsi="Times New Roman"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right="-334" w:rightChars="-159"/>
        <w:jc w:val="center"/>
        <w:textAlignment w:val="auto"/>
        <w:outlineLvl w:val="0"/>
        <w:rPr>
          <w:rFonts w:hint="eastAsia" w:ascii="Times New Roman" w:hAnsi="Times New Roman" w:eastAsia="方正小标宋简体" w:cs="方正小标宋简体"/>
          <w:sz w:val="44"/>
          <w:szCs w:val="44"/>
          <w:lang w:eastAsia="zh-CN"/>
        </w:rPr>
      </w:pPr>
      <w:r>
        <w:rPr>
          <w:rFonts w:hint="eastAsia" w:ascii="Times New Roman" w:hAnsi="Times New Roman" w:eastAsia="方正小标宋简体"/>
          <w:sz w:val="44"/>
          <w:szCs w:val="44"/>
          <w:lang w:eastAsia="zh-CN"/>
        </w:rPr>
        <w:t>木垒县发展</w:t>
      </w:r>
      <w:r>
        <w:rPr>
          <w:rFonts w:hint="eastAsia" w:ascii="Times New Roman" w:hAnsi="Times New Roman" w:eastAsia="方正小标宋简体"/>
          <w:sz w:val="44"/>
          <w:szCs w:val="44"/>
          <w:lang w:val="en-US" w:eastAsia="zh-CN"/>
        </w:rPr>
        <w:t>和</w:t>
      </w:r>
      <w:r>
        <w:rPr>
          <w:rFonts w:hint="eastAsia" w:ascii="Times New Roman" w:hAnsi="Times New Roman" w:eastAsia="方正小标宋简体"/>
          <w:sz w:val="44"/>
          <w:szCs w:val="44"/>
          <w:lang w:eastAsia="zh-CN"/>
        </w:rPr>
        <w:t>改革</w:t>
      </w:r>
      <w:r>
        <w:rPr>
          <w:rFonts w:hint="eastAsia" w:ascii="Times New Roman" w:hAnsi="Times New Roman" w:eastAsia="方正小标宋简体"/>
          <w:sz w:val="44"/>
          <w:szCs w:val="44"/>
          <w:lang w:val="en-US" w:eastAsia="zh-CN"/>
        </w:rPr>
        <w:t>委员会</w:t>
      </w:r>
      <w:r>
        <w:rPr>
          <w:rFonts w:hint="eastAsia" w:ascii="Times New Roman" w:hAnsi="Times New Roman" w:eastAsia="方正小标宋简体"/>
          <w:sz w:val="44"/>
          <w:szCs w:val="44"/>
          <w:lang w:eastAsia="zh-CN"/>
        </w:rPr>
        <w:t>关于木垒县大石头乡阿克达拉村2024年养殖小区建设项目</w:t>
      </w:r>
      <w:r>
        <w:rPr>
          <w:rFonts w:hint="eastAsia" w:ascii="Times New Roman" w:hAnsi="Times New Roman" w:eastAsia="方正小标宋简体"/>
          <w:sz w:val="44"/>
          <w:szCs w:val="44"/>
          <w:lang w:val="en-US" w:eastAsia="zh-CN"/>
        </w:rPr>
        <w:t>可行性研究报告（代项目建议书）</w:t>
      </w:r>
      <w:r>
        <w:rPr>
          <w:rFonts w:hint="eastAsia" w:ascii="Times New Roman" w:hAnsi="Times New Roman" w:eastAsia="方正小标宋简体"/>
          <w:color w:val="000000"/>
          <w:sz w:val="44"/>
          <w:szCs w:val="44"/>
        </w:rPr>
        <w:t>的</w:t>
      </w:r>
      <w:r>
        <w:rPr>
          <w:rFonts w:hint="eastAsia" w:ascii="Times New Roman" w:hAnsi="Times New Roman" w:eastAsia="方正小标宋简体" w:cs="方正小标宋简体"/>
          <w:sz w:val="44"/>
          <w:szCs w:val="44"/>
          <w:lang w:eastAsia="zh-CN"/>
        </w:rPr>
        <w:t>批复</w:t>
      </w:r>
      <w:bookmarkStart w:id="0" w:name="_GoBack"/>
      <w:bookmarkEnd w:id="0"/>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rPr>
      </w:pPr>
    </w:p>
    <w:p>
      <w:pPr>
        <w:keepNext w:val="0"/>
        <w:keepLines w:val="0"/>
        <w:pageBreakBefore w:val="0"/>
        <w:widowControl w:val="0"/>
        <w:kinsoku/>
        <w:wordWrap/>
        <w:topLinePunct w:val="0"/>
        <w:autoSpaceDE/>
        <w:autoSpaceDN/>
        <w:bidi w:val="0"/>
        <w:adjustRightInd/>
        <w:snapToGrid/>
        <w:spacing w:line="560" w:lineRule="exact"/>
        <w:ind w:right="0" w:rightChars="0"/>
        <w:jc w:val="left"/>
        <w:textAlignment w:val="auto"/>
        <w:outlineLvl w:val="0"/>
        <w:rPr>
          <w:rFonts w:hint="eastAsia" w:ascii="Times New Roman" w:hAnsi="Times New Roman" w:eastAsia="仿宋_GB2312" w:cs="方正仿宋简体"/>
          <w:spacing w:val="-6"/>
          <w:kern w:val="0"/>
          <w:sz w:val="32"/>
          <w:lang w:val="en-US" w:eastAsia="zh-CN"/>
        </w:rPr>
      </w:pPr>
      <w:r>
        <w:rPr>
          <w:rFonts w:hint="eastAsia" w:ascii="Times New Roman" w:hAnsi="Times New Roman" w:eastAsia="仿宋_GB2312" w:cs="方正仿宋简体"/>
          <w:spacing w:val="-6"/>
          <w:kern w:val="0"/>
          <w:sz w:val="32"/>
          <w:lang w:val="en-US" w:eastAsia="zh-CN"/>
        </w:rPr>
        <w:t>木垒县大石头乡人民政府：</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报来《关于木垒县大石头乡阿克达拉村2024年养殖小区建设项目可行性研究报告（代项目建议书）的请示》（大乡政发〔2024〕6号）及有关材料收悉。经研究，现批复如下:</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一、为进一步巩固拓展木垒县大石头乡脱贫攻坚成果，改善大石头阿克达拉村骆驼养殖基础设施条件，提高农业收入水平。同意实施木垒县</w:t>
      </w:r>
      <w:r>
        <w:rPr>
          <w:rFonts w:hint="default" w:ascii="Times New Roman" w:hAnsi="Times New Roman" w:eastAsia="仿宋_GB2312" w:cs="仿宋_GB2312"/>
          <w:spacing w:val="-6"/>
          <w:sz w:val="32"/>
          <w:szCs w:val="32"/>
          <w:highlight w:val="none"/>
          <w:lang w:val="en-US" w:eastAsia="zh-CN"/>
        </w:rPr>
        <w:t>大石头乡阿克达拉村2024年养殖小区建设项目</w:t>
      </w:r>
      <w:r>
        <w:rPr>
          <w:rFonts w:hint="eastAsia" w:ascii="Times New Roman" w:hAnsi="Times New Roman" w:eastAsia="仿宋_GB2312" w:cs="仿宋_GB2312"/>
          <w:spacing w:val="-6"/>
          <w:sz w:val="32"/>
          <w:szCs w:val="32"/>
          <w:highlight w:val="none"/>
          <w:lang w:val="en-US" w:eastAsia="zh-CN"/>
        </w:rPr>
        <w:t>（项目代码2406-652328-04-01-252678）。</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rPr>
        <w:t>二、项目建设</w:t>
      </w:r>
      <w:r>
        <w:rPr>
          <w:rFonts w:hint="eastAsia" w:ascii="Times New Roman" w:hAnsi="Times New Roman" w:eastAsia="仿宋_GB2312" w:cs="仿宋_GB2312"/>
          <w:spacing w:val="-6"/>
          <w:sz w:val="32"/>
          <w:szCs w:val="32"/>
          <w:highlight w:val="none"/>
          <w:lang w:eastAsia="zh-CN"/>
        </w:rPr>
        <w:t>地点：</w:t>
      </w:r>
      <w:r>
        <w:rPr>
          <w:rFonts w:hint="eastAsia" w:ascii="Times New Roman" w:hAnsi="Times New Roman" w:eastAsia="仿宋_GB2312" w:cs="仿宋_GB2312"/>
          <w:spacing w:val="-6"/>
          <w:sz w:val="32"/>
          <w:szCs w:val="32"/>
          <w:highlight w:val="none"/>
          <w:lang w:val="en-US" w:eastAsia="zh-CN"/>
        </w:rPr>
        <w:t>木垒县大石头乡</w:t>
      </w:r>
      <w:r>
        <w:rPr>
          <w:rFonts w:hint="eastAsia" w:ascii="Times New Roman" w:hAnsi="Times New Roman" w:eastAsia="仿宋_GB2312" w:cs="Times New Roman"/>
          <w:spacing w:val="-6"/>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1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Times New Roman" w:hAnsi="Times New Roman" w:eastAsia="仿宋_GB2312" w:cs="仿宋_GB2312"/>
          <w:spacing w:val="-6"/>
          <w:sz w:val="32"/>
          <w:szCs w:val="32"/>
          <w:highlight w:val="none"/>
        </w:rPr>
        <w:t>三、</w:t>
      </w:r>
      <w:r>
        <w:rPr>
          <w:rFonts w:hint="eastAsia" w:ascii="Times New Roman" w:hAnsi="Times New Roman" w:eastAsia="仿宋_GB2312" w:cs="仿宋_GB2312"/>
          <w:spacing w:val="-6"/>
          <w:sz w:val="32"/>
          <w:szCs w:val="32"/>
          <w:highlight w:val="none"/>
          <w:lang w:val="en-US" w:eastAsia="zh-CN"/>
        </w:rPr>
        <w:t>项目建设规模及主要建设内容：</w:t>
      </w:r>
      <w:r>
        <w:rPr>
          <w:rFonts w:hint="default" w:ascii="Times New Roman" w:hAnsi="Times New Roman" w:eastAsia="仿宋_GB2312" w:cs="仿宋_GB2312"/>
          <w:spacing w:val="-6"/>
          <w:sz w:val="32"/>
          <w:szCs w:val="32"/>
          <w:highlight w:val="none"/>
          <w:lang w:val="en-US" w:eastAsia="zh-CN"/>
        </w:rPr>
        <w:t>1</w:t>
      </w:r>
      <w:r>
        <w:rPr>
          <w:rFonts w:hint="eastAsia" w:ascii="Times New Roman" w:hAnsi="Times New Roman" w:eastAsia="仿宋_GB2312" w:cs="仿宋_GB2312"/>
          <w:spacing w:val="-6"/>
          <w:sz w:val="32"/>
          <w:szCs w:val="32"/>
          <w:highlight w:val="none"/>
          <w:lang w:val="en-US" w:eastAsia="zh-CN"/>
        </w:rPr>
        <w:t>、新建3间骆驼圈舍，每间400平方米，共计1200平方米；100平方米配套设施用房；400平方米草料区；2000平方米活动场地。2、厂区外围墙700米；骆驼活动区围栏450米；2000平方米堆粪场；给水管道一公里及相关配套设施等。</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四、</w:t>
      </w:r>
      <w:r>
        <w:rPr>
          <w:rFonts w:hint="eastAsia" w:ascii="Times New Roman" w:hAnsi="Times New Roman" w:eastAsia="仿宋_GB2312" w:cs="仿宋_GB2312"/>
          <w:spacing w:val="-6"/>
          <w:sz w:val="32"/>
          <w:szCs w:val="32"/>
          <w:lang w:val="en-US" w:eastAsia="zh-CN"/>
        </w:rPr>
        <w:t>项目总投资：</w:t>
      </w:r>
      <w:r>
        <w:rPr>
          <w:rFonts w:hint="default" w:ascii="Times New Roman" w:hAnsi="Times New Roman" w:eastAsia="仿宋_GB2312" w:cs="仿宋_GB2312"/>
          <w:spacing w:val="-6"/>
          <w:sz w:val="32"/>
          <w:szCs w:val="32"/>
          <w:lang w:val="en-US" w:eastAsia="zh-CN"/>
        </w:rPr>
        <w:t>357</w:t>
      </w:r>
      <w:r>
        <w:rPr>
          <w:rFonts w:hint="eastAsia" w:ascii="Times New Roman" w:hAnsi="Times New Roman" w:eastAsia="仿宋_GB2312" w:cs="仿宋_GB2312"/>
          <w:spacing w:val="-6"/>
          <w:sz w:val="32"/>
          <w:szCs w:val="32"/>
          <w:lang w:val="en-US" w:eastAsia="zh-CN"/>
        </w:rPr>
        <w:t>万元，资金来源为自治区衔接</w:t>
      </w:r>
      <w:r>
        <w:rPr>
          <w:rFonts w:hint="eastAsia" w:ascii="仿宋_GB2312" w:hAnsi="仿宋_GB2312" w:eastAsia="仿宋_GB2312" w:cs="仿宋_GB2312"/>
          <w:sz w:val="32"/>
          <w:szCs w:val="32"/>
          <w:lang w:val="en-US" w:eastAsia="zh-CN"/>
        </w:rPr>
        <w:t>资金</w:t>
      </w:r>
      <w:r>
        <w:rPr>
          <w:rFonts w:hint="eastAsia" w:ascii="Times New Roman" w:hAnsi="Times New Roman" w:eastAsia="仿宋_GB2312" w:cs="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lang w:val="en-US" w:eastAsia="zh-CN"/>
        </w:rPr>
      </w:pPr>
      <w:r>
        <w:rPr>
          <w:rFonts w:hint="eastAsia" w:ascii="Times New Roman" w:hAnsi="Times New Roman" w:eastAsia="仿宋_GB2312" w:cs="仿宋_GB2312"/>
          <w:spacing w:val="-6"/>
          <w:sz w:val="32"/>
          <w:szCs w:val="32"/>
        </w:rPr>
        <w:t>五、</w:t>
      </w:r>
      <w:r>
        <w:rPr>
          <w:rFonts w:hint="eastAsia" w:ascii="Times New Roman" w:hAnsi="Times New Roman" w:eastAsia="仿宋_GB2312" w:cs="仿宋_GB2312"/>
          <w:spacing w:val="-6"/>
          <w:sz w:val="32"/>
          <w:szCs w:val="32"/>
          <w:lang w:val="en-US" w:eastAsia="zh-CN"/>
        </w:rPr>
        <w:t>项目单位（法人）：木垒</w:t>
      </w:r>
      <w:r>
        <w:rPr>
          <w:rFonts w:hint="eastAsia" w:ascii="Times New Roman" w:hAnsi="Times New Roman" w:eastAsia="仿宋_GB2312" w:cs="方正仿宋简体"/>
          <w:spacing w:val="-6"/>
          <w:kern w:val="0"/>
          <w:sz w:val="32"/>
          <w:lang w:val="en-US" w:eastAsia="zh-CN"/>
        </w:rPr>
        <w:t>县大石头乡人民政府，</w:t>
      </w:r>
      <w:r>
        <w:rPr>
          <w:rFonts w:hint="eastAsia" w:ascii="Times New Roman" w:hAnsi="Times New Roman" w:eastAsia="仿宋_GB2312" w:cs="仿宋_GB2312"/>
          <w:spacing w:val="-6"/>
          <w:sz w:val="32"/>
          <w:szCs w:val="32"/>
          <w:lang w:val="en-US" w:eastAsia="zh-CN"/>
        </w:rPr>
        <w:t>负责项目的组织实施和日常管理。</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default" w:ascii="Times New Roman" w:hAnsi="Times New Roman" w:eastAsia="仿宋_GB2312"/>
          <w:spacing w:val="-6"/>
          <w:sz w:val="32"/>
          <w:szCs w:val="32"/>
          <w:lang w:val="en-US" w:eastAsia="zh-CN"/>
        </w:rPr>
      </w:pPr>
      <w:r>
        <w:rPr>
          <w:rFonts w:hint="eastAsia" w:ascii="Times New Roman" w:hAnsi="Times New Roman" w:eastAsia="仿宋_GB2312" w:cs="仿宋_GB2312"/>
          <w:spacing w:val="-6"/>
          <w:sz w:val="32"/>
          <w:szCs w:val="32"/>
        </w:rPr>
        <w:t>六、</w:t>
      </w:r>
      <w:r>
        <w:rPr>
          <w:rFonts w:hint="eastAsia" w:ascii="Times New Roman" w:hAnsi="Times New Roman" w:eastAsia="仿宋_GB2312" w:cs="仿宋_GB2312"/>
          <w:spacing w:val="-6"/>
          <w:sz w:val="32"/>
          <w:szCs w:val="32"/>
          <w:lang w:val="en-US" w:eastAsia="zh-CN"/>
        </w:rPr>
        <w:t>项目日常监管责任单位：木垒县农业农村局负责项目的日常监管、现场核查和监督检查</w:t>
      </w:r>
      <w:r>
        <w:rPr>
          <w:rFonts w:hint="eastAsia" w:ascii="Times New Roman" w:hAnsi="Times New Roman" w:eastAsia="仿宋_GB2312"/>
          <w:spacing w:val="-6"/>
          <w:sz w:val="32"/>
          <w:szCs w:val="32"/>
          <w:lang w:val="en-US" w:eastAsia="zh-CN"/>
        </w:rPr>
        <w:t>。</w:t>
      </w:r>
    </w:p>
    <w:p>
      <w:pPr>
        <w:keepNext w:val="0"/>
        <w:keepLines w:val="0"/>
        <w:pageBreakBefore w:val="0"/>
        <w:widowControl w:val="0"/>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lang w:eastAsia="zh-CN"/>
        </w:rPr>
      </w:pPr>
      <w:r>
        <w:rPr>
          <w:rFonts w:hint="eastAsia" w:ascii="Times New Roman" w:hAnsi="Times New Roman" w:eastAsia="仿宋_GB2312" w:cs="仿宋_GB2312"/>
          <w:spacing w:val="-6"/>
          <w:sz w:val="32"/>
          <w:szCs w:val="32"/>
        </w:rPr>
        <w:t>七、</w:t>
      </w:r>
      <w:r>
        <w:rPr>
          <w:rFonts w:hint="eastAsia" w:ascii="Times New Roman" w:hAnsi="Times New Roman" w:eastAsia="仿宋_GB2312" w:cs="仿宋_GB2312"/>
          <w:spacing w:val="-6"/>
          <w:sz w:val="32"/>
          <w:szCs w:val="32"/>
          <w:lang w:val="en-US" w:eastAsia="zh-CN"/>
        </w:rPr>
        <w:t>项目建设期限：1年</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八、项目勘察、设计、施工、监理以及与工程建设有关的重要设备、材料等的采购应当符合《招标投标法》、《招标投标法实施条例》等规定，其招标范围、招标组织形式、招标方式等按照核准意见执行（详见附件）。</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九、请严格按照批准的可行性研究报告内容和规模组织实施，认真履行基本建设程序，严禁未经批准擅自变更建设内容和建设规模。加强项目建设管理，严格遵守项目法人责任制、招标投标制、工程监理制、合同管理制等规定，严把工程质量和安全关，确保项目早日建成发挥效益。项目开工后，及时在自治区投资项目在线审批监管平台填报项目开工、建设进度、资金使用、完工等信息，并同步上传佐证资料。</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十、请严格执行《中央预算内投资项目监督管理办法》，项目单位（法人）履行投资项目及其相应的投资计划执行的日常管理主体责任，日常监管责任单位履行投资项目建设实施日常监管及其相应的投资计划执行的直接责任，开展现场核查和监督检查，规范项目实施和资金使用，保障和提高投资综合效益。</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十一、</w:t>
      </w:r>
      <w:r>
        <w:rPr>
          <w:rFonts w:hint="eastAsia" w:ascii="Times New Roman" w:hAnsi="Times New Roman" w:eastAsia="仿宋_GB2312" w:cs="仿宋_GB2312"/>
          <w:spacing w:val="-6"/>
          <w:sz w:val="32"/>
          <w:szCs w:val="32"/>
          <w:highlight w:val="none"/>
          <w:lang w:val="en-US" w:eastAsia="zh-CN"/>
        </w:rPr>
        <w:t>请严格落实国家和自治区关于防范化解地方政府隐性债务风险的相关要求，多方筹措项目建设资金，严格落实资金来源，坚决防止新增地方政府隐性债务，有效防范政府债务风险。</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eastAsia"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lang w:val="en-US" w:eastAsia="zh-CN"/>
        </w:rPr>
        <w:t>十二、</w:t>
      </w:r>
      <w:r>
        <w:rPr>
          <w:rFonts w:hint="eastAsia" w:ascii="Times New Roman" w:hAnsi="Times New Roman" w:eastAsia="仿宋_GB2312" w:cs="仿宋_GB2312"/>
          <w:spacing w:val="-6"/>
          <w:sz w:val="32"/>
          <w:szCs w:val="32"/>
          <w:highlight w:val="none"/>
          <w:lang w:val="en-US" w:eastAsia="zh-CN"/>
        </w:rPr>
        <w:t>在后续阶段，请抓紧开展各项前期工作，尽快编制初步设计，按程序报批，推动项目加快开工建设。如需对本批复文件的内容进行调整，严格按照有关规定办理。</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lang w:val="en-US" w:eastAsia="zh-CN"/>
        </w:rPr>
      </w:pPr>
      <w:r>
        <w:rPr>
          <w:rFonts w:hint="eastAsia" w:ascii="Times New Roman" w:hAnsi="Times New Roman" w:eastAsia="仿宋_GB2312" w:cs="仿宋_GB2312"/>
          <w:spacing w:val="-6"/>
          <w:sz w:val="32"/>
          <w:szCs w:val="32"/>
          <w:highlight w:val="none"/>
          <w:lang w:val="en-US" w:eastAsia="zh-CN"/>
        </w:rPr>
        <w:t>本批复文件自印发之日起，有效期一年。</w:t>
      </w: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p>
    <w:p>
      <w:pPr>
        <w:keepNext w:val="0"/>
        <w:keepLines w:val="0"/>
        <w:pageBreakBefore w:val="0"/>
        <w:widowControl w:val="0"/>
        <w:kinsoku/>
        <w:wordWrap/>
        <w:topLinePunct w:val="0"/>
        <w:autoSpaceDE/>
        <w:autoSpaceDN/>
        <w:bidi w:val="0"/>
        <w:adjustRightInd/>
        <w:snapToGrid/>
        <w:spacing w:line="560" w:lineRule="exact"/>
        <w:ind w:firstLine="616" w:firstLineChars="200"/>
        <w:textAlignment w:val="auto"/>
        <w:rPr>
          <w:rFonts w:hint="default" w:ascii="Times New Roman" w:hAnsi="Times New Roman" w:eastAsia="仿宋_GB2312" w:cs="仿宋_GB2312"/>
          <w:spacing w:val="-6"/>
          <w:sz w:val="32"/>
          <w:szCs w:val="32"/>
          <w:highlight w:val="none"/>
          <w:lang w:val="en-US" w:eastAsia="zh-CN"/>
        </w:rPr>
      </w:pPr>
      <w:r>
        <w:rPr>
          <w:rFonts w:hint="eastAsia" w:ascii="Times New Roman" w:hAnsi="Times New Roman" w:eastAsia="仿宋_GB2312" w:cs="仿宋_GB2312"/>
          <w:spacing w:val="-6"/>
          <w:sz w:val="32"/>
          <w:szCs w:val="32"/>
          <w:highlight w:val="none"/>
          <w:lang w:val="en-US" w:eastAsia="zh-CN"/>
        </w:rPr>
        <w:t>附件1-1：审批部门核准意见</w:t>
      </w:r>
    </w:p>
    <w:p>
      <w:pPr>
        <w:rPr>
          <w:rFonts w:hint="default"/>
          <w:lang w:val="en-US" w:eastAsia="zh-CN"/>
        </w:rPr>
      </w:pPr>
    </w:p>
    <w:p>
      <w:pPr>
        <w:pStyle w:val="2"/>
        <w:rPr>
          <w:rFonts w:hint="default"/>
          <w:lang w:val="en-US" w:eastAsia="zh-CN"/>
        </w:rPr>
      </w:pPr>
    </w:p>
    <w:p>
      <w:pPr>
        <w:pStyle w:val="2"/>
        <w:rPr>
          <w:rFonts w:hint="default"/>
          <w:lang w:val="en-US" w:eastAsia="zh-CN"/>
        </w:rPr>
      </w:pPr>
    </w:p>
    <w:p>
      <w:pPr>
        <w:rPr>
          <w:rFonts w:hint="default"/>
          <w:lang w:val="en-US" w:eastAsia="zh-CN"/>
        </w:rPr>
      </w:pPr>
    </w:p>
    <w:p>
      <w:pPr>
        <w:pStyle w:val="2"/>
        <w:rPr>
          <w:rFonts w:hint="default"/>
          <w:lang w:val="en-US" w:eastAsia="zh-CN"/>
        </w:rPr>
      </w:pPr>
    </w:p>
    <w:p>
      <w:pPr>
        <w:rPr>
          <w:rFonts w:hint="default"/>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60" w:lineRule="exact"/>
        <w:ind w:firstLine="640" w:firstLineChars="200"/>
        <w:jc w:val="right"/>
        <w:textAlignment w:val="auto"/>
        <w:rPr>
          <w:rFonts w:hint="eastAsia" w:ascii="Times New Roman" w:hAnsi="Times New Roman" w:eastAsia="仿宋_GB2312" w:cs="仿宋_GB2312"/>
          <w:sz w:val="32"/>
          <w:szCs w:val="32"/>
          <w:lang w:eastAsia="zh-CN"/>
        </w:rPr>
      </w:pPr>
      <w:r>
        <w:rPr>
          <w:rFonts w:hint="eastAsia" w:ascii="Times New Roman" w:hAnsi="Times New Roman" w:eastAsia="仿宋_GB2312" w:cs="仿宋_GB2312"/>
          <w:sz w:val="32"/>
          <w:szCs w:val="32"/>
          <w:lang w:eastAsia="zh-CN"/>
        </w:rPr>
        <w:t>木垒县发展和改革委员会</w:t>
      </w:r>
    </w:p>
    <w:p>
      <w:pPr>
        <w:keepNext w:val="0"/>
        <w:keepLines w:val="0"/>
        <w:pageBreakBefore w:val="0"/>
        <w:widowControl w:val="0"/>
        <w:kinsoku/>
        <w:wordWrap w:val="0"/>
        <w:overflowPunct w:val="0"/>
        <w:topLinePunct w:val="0"/>
        <w:autoSpaceDE/>
        <w:autoSpaceDN/>
        <w:bidi w:val="0"/>
        <w:adjustRightInd/>
        <w:snapToGrid/>
        <w:spacing w:line="560" w:lineRule="exact"/>
        <w:ind w:firstLine="640" w:firstLineChars="200"/>
        <w:jc w:val="center"/>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 xml:space="preserve">                              2024年6月日 </w:t>
      </w:r>
    </w:p>
    <w:p>
      <w:pPr>
        <w:pStyle w:val="2"/>
        <w:keepNext w:val="0"/>
        <w:keepLines w:val="0"/>
        <w:pageBreakBefore w:val="0"/>
        <w:widowControl w:val="0"/>
        <w:kinsoku/>
        <w:topLinePunct w:val="0"/>
        <w:autoSpaceDE/>
        <w:autoSpaceDN/>
        <w:bidi w:val="0"/>
        <w:adjustRightInd/>
        <w:spacing w:line="560" w:lineRule="exact"/>
        <w:textAlignment w:val="auto"/>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rPr>
          <w:rFonts w:hint="eastAsia"/>
          <w:lang w:val="en-US" w:eastAsia="zh-CN"/>
        </w:rPr>
      </w:pPr>
    </w:p>
    <w:p>
      <w:pPr>
        <w:rPr>
          <w:rFonts w:hint="eastAsia"/>
          <w:lang w:val="en-US" w:eastAsia="zh-CN"/>
        </w:rPr>
      </w:pPr>
    </w:p>
    <w:p>
      <w:pPr>
        <w:pStyle w:val="2"/>
        <w:ind w:left="0" w:leftChars="0" w:firstLine="0" w:firstLineChars="0"/>
        <w:rPr>
          <w:rFonts w:hint="eastAsia"/>
          <w:lang w:val="en-US" w:eastAsia="zh-CN"/>
        </w:rPr>
      </w:pPr>
    </w:p>
    <w:p>
      <w:pPr>
        <w:rPr>
          <w:rFonts w:hint="eastAsia"/>
          <w:lang w:val="en-US" w:eastAsia="zh-CN"/>
        </w:rPr>
      </w:pPr>
    </w:p>
    <w:tbl>
      <w:tblPr>
        <w:tblStyle w:val="5"/>
        <w:tblW w:w="9115"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9115"/>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Ex>
        <w:tc>
          <w:tcPr>
            <w:tcW w:w="9115" w:type="dxa"/>
          </w:tcPr>
          <w:p>
            <w:pPr>
              <w:keepNext w:val="0"/>
              <w:keepLines w:val="0"/>
              <w:pageBreakBefore w:val="0"/>
              <w:widowControl w:val="0"/>
              <w:kinsoku/>
              <w:wordWrap/>
              <w:overflowPunct w:val="0"/>
              <w:topLinePunct w:val="0"/>
              <w:autoSpaceDE/>
              <w:autoSpaceDN/>
              <w:bidi w:val="0"/>
              <w:adjustRightInd/>
              <w:snapToGrid/>
              <w:spacing w:line="560" w:lineRule="exact"/>
              <w:jc w:val="center"/>
              <w:textAlignment w:val="auto"/>
              <w:rPr>
                <w:rFonts w:hint="eastAsia" w:ascii="Times New Roman" w:hAnsi="Times New Roman" w:eastAsia="仿宋_GB2312" w:cs="仿宋_GB2312"/>
                <w:sz w:val="32"/>
                <w:szCs w:val="32"/>
                <w:vertAlign w:val="baseline"/>
                <w:lang w:val="en-US" w:eastAsia="zh-CN"/>
              </w:rPr>
            </w:pPr>
            <w:r>
              <w:rPr>
                <w:rFonts w:hint="eastAsia" w:ascii="Times New Roman" w:hAnsi="Times New Roman" w:eastAsia="仿宋_GB2312"/>
                <w:sz w:val="32"/>
                <w:szCs w:val="32"/>
                <w:u w:val="none" w:color="auto"/>
              </w:rPr>
              <w:t xml:space="preserve">木垒县发展和改革委员会      </w:t>
            </w:r>
            <w:r>
              <w:rPr>
                <w:rFonts w:hint="eastAsia" w:ascii="Times New Roman" w:hAnsi="Times New Roman" w:eastAsia="仿宋_GB2312"/>
                <w:sz w:val="32"/>
                <w:szCs w:val="32"/>
                <w:u w:val="none" w:color="auto"/>
                <w:lang w:val="en-US" w:eastAsia="zh-CN"/>
              </w:rPr>
              <w:t xml:space="preserve">  </w:t>
            </w:r>
            <w:r>
              <w:rPr>
                <w:rFonts w:hint="eastAsia" w:ascii="Times New Roman" w:hAnsi="Times New Roman" w:eastAsia="仿宋_GB2312"/>
                <w:sz w:val="32"/>
                <w:szCs w:val="32"/>
                <w:u w:val="none" w:color="auto"/>
              </w:rPr>
              <w:t xml:space="preserve">     20</w:t>
            </w:r>
            <w:r>
              <w:rPr>
                <w:rFonts w:hint="eastAsia" w:ascii="Times New Roman" w:hAnsi="Times New Roman" w:eastAsia="仿宋_GB2312"/>
                <w:sz w:val="32"/>
                <w:szCs w:val="32"/>
                <w:u w:val="none" w:color="auto"/>
                <w:lang w:val="en-US" w:eastAsia="zh-CN"/>
              </w:rPr>
              <w:t>24</w:t>
            </w:r>
            <w:r>
              <w:rPr>
                <w:rFonts w:hint="eastAsia" w:ascii="Times New Roman" w:hAnsi="Times New Roman" w:eastAsia="仿宋_GB2312"/>
                <w:sz w:val="32"/>
                <w:szCs w:val="32"/>
                <w:u w:val="none" w:color="auto"/>
              </w:rPr>
              <w:t>年</w:t>
            </w:r>
            <w:r>
              <w:rPr>
                <w:rFonts w:hint="eastAsia" w:ascii="Times New Roman" w:hAnsi="Times New Roman" w:eastAsia="仿宋_GB2312"/>
                <w:sz w:val="32"/>
                <w:szCs w:val="32"/>
                <w:u w:val="none" w:color="auto"/>
                <w:lang w:val="en-US" w:eastAsia="zh-CN"/>
              </w:rPr>
              <w:t>6</w:t>
            </w:r>
            <w:r>
              <w:rPr>
                <w:rFonts w:hint="eastAsia" w:ascii="Times New Roman" w:hAnsi="Times New Roman" w:eastAsia="仿宋_GB2312"/>
                <w:sz w:val="32"/>
                <w:szCs w:val="32"/>
                <w:u w:val="none" w:color="auto"/>
              </w:rPr>
              <w:t>月日印发</w:t>
            </w:r>
          </w:p>
        </w:tc>
      </w:tr>
    </w:tbl>
    <w:p>
      <w:pPr>
        <w:keepNext w:val="0"/>
        <w:keepLines w:val="0"/>
        <w:pageBreakBefore w:val="0"/>
        <w:widowControl w:val="0"/>
        <w:kinsoku/>
        <w:wordWrap/>
        <w:overflowPunct w:val="0"/>
        <w:topLinePunct w:val="0"/>
        <w:autoSpaceDE/>
        <w:autoSpaceDN/>
        <w:bidi w:val="0"/>
        <w:adjustRightInd/>
        <w:snapToGrid/>
        <w:spacing w:line="240" w:lineRule="auto"/>
        <w:ind w:firstLine="360" w:firstLineChars="200"/>
        <w:jc w:val="center"/>
        <w:textAlignment w:val="auto"/>
        <w:rPr>
          <w:rFonts w:hint="eastAsia" w:ascii="Times New Roman" w:hAnsi="Times New Roman" w:eastAsia="仿宋_GB2312" w:cs="仿宋_GB2312"/>
          <w:sz w:val="18"/>
          <w:szCs w:val="18"/>
          <w:lang w:val="en-US" w:eastAsia="zh-CN"/>
        </w:rPr>
      </w:pPr>
      <w:r>
        <w:rPr>
          <w:rFonts w:hint="eastAsia" w:ascii="Times New Roman" w:hAnsi="Times New Roman" w:eastAsia="仿宋_GB2312" w:cs="仿宋_GB2312"/>
          <w:sz w:val="18"/>
          <w:szCs w:val="18"/>
          <w:lang w:val="en-US" w:eastAsia="zh-CN"/>
        </w:rPr>
        <w:br w:type="page"/>
      </w:r>
    </w:p>
    <w:tbl>
      <w:tblPr>
        <w:tblStyle w:val="4"/>
        <w:tblW w:w="9117" w:type="dxa"/>
        <w:tblInd w:w="-86" w:type="dxa"/>
        <w:tblLayout w:type="fixed"/>
        <w:tblCellMar>
          <w:top w:w="15" w:type="dxa"/>
          <w:left w:w="15" w:type="dxa"/>
          <w:bottom w:w="15" w:type="dxa"/>
          <w:right w:w="15" w:type="dxa"/>
        </w:tblCellMar>
      </w:tblPr>
      <w:tblGrid>
        <w:gridCol w:w="1440"/>
        <w:gridCol w:w="1239"/>
        <w:gridCol w:w="1024"/>
        <w:gridCol w:w="968"/>
        <w:gridCol w:w="931"/>
        <w:gridCol w:w="1019"/>
        <w:gridCol w:w="996"/>
        <w:gridCol w:w="1500"/>
      </w:tblGrid>
      <w:tr>
        <w:tblPrEx>
          <w:tblLayout w:type="fixed"/>
          <w:tblCellMar>
            <w:top w:w="15" w:type="dxa"/>
            <w:left w:w="15" w:type="dxa"/>
            <w:bottom w:w="15" w:type="dxa"/>
            <w:right w:w="15" w:type="dxa"/>
          </w:tblCellMar>
        </w:tblPrEx>
        <w:trPr>
          <w:trHeight w:val="650" w:hRule="atLeast"/>
        </w:trPr>
        <w:tc>
          <w:tcPr>
            <w:tcW w:w="9117" w:type="dxa"/>
            <w:gridSpan w:val="8"/>
            <w:tcBorders>
              <w:bottom w:val="nil"/>
            </w:tcBorders>
            <w:noWrap w:val="0"/>
            <w:vAlign w:val="center"/>
          </w:tcPr>
          <w:p>
            <w:pPr>
              <w:jc w:val="left"/>
              <w:textAlignment w:val="center"/>
              <w:rPr>
                <w:rFonts w:hint="default" w:ascii="Times New Roman" w:hAnsi="Times New Roman" w:eastAsia="黑体" w:cs="黑体"/>
                <w:sz w:val="22"/>
                <w:szCs w:val="22"/>
                <w:lang w:val="en-US" w:eastAsia="zh-CN"/>
              </w:rPr>
            </w:pPr>
            <w:r>
              <w:rPr>
                <w:rFonts w:hint="eastAsia" w:ascii="Times New Roman" w:hAnsi="Times New Roman" w:eastAsia="黑体" w:cs="黑体"/>
                <w:sz w:val="22"/>
                <w:szCs w:val="22"/>
                <w:lang w:bidi="ar"/>
              </w:rPr>
              <w:t>附件</w:t>
            </w:r>
            <w:r>
              <w:rPr>
                <w:rFonts w:hint="eastAsia" w:ascii="Times New Roman" w:hAnsi="Times New Roman" w:eastAsia="黑体" w:cs="黑体"/>
                <w:sz w:val="22"/>
                <w:szCs w:val="22"/>
                <w:lang w:val="en-US" w:eastAsia="zh-CN" w:bidi="ar"/>
              </w:rPr>
              <w:t>1-1</w:t>
            </w:r>
          </w:p>
        </w:tc>
      </w:tr>
      <w:tr>
        <w:tblPrEx>
          <w:tblLayout w:type="fixed"/>
          <w:tblCellMar>
            <w:top w:w="15" w:type="dxa"/>
            <w:left w:w="15" w:type="dxa"/>
            <w:bottom w:w="15" w:type="dxa"/>
            <w:right w:w="15" w:type="dxa"/>
          </w:tblCellMar>
        </w:tblPrEx>
        <w:trPr>
          <w:trHeight w:val="752" w:hRule="atLeast"/>
        </w:trPr>
        <w:tc>
          <w:tcPr>
            <w:tcW w:w="9117" w:type="dxa"/>
            <w:gridSpan w:val="8"/>
            <w:tcBorders>
              <w:top w:val="nil"/>
              <w:left w:val="nil"/>
              <w:bottom w:val="nil"/>
              <w:right w:val="nil"/>
            </w:tcBorders>
            <w:noWrap w:val="0"/>
            <w:vAlign w:val="center"/>
          </w:tcPr>
          <w:p>
            <w:pPr>
              <w:jc w:val="center"/>
              <w:textAlignment w:val="center"/>
              <w:rPr>
                <w:rFonts w:hint="eastAsia" w:ascii="Times New Roman" w:hAnsi="Times New Roman" w:eastAsia="黑体" w:cs="黑体"/>
                <w:sz w:val="32"/>
                <w:szCs w:val="32"/>
              </w:rPr>
            </w:pPr>
            <w:r>
              <w:rPr>
                <w:rFonts w:hint="eastAsia" w:ascii="Times New Roman" w:hAnsi="Times New Roman" w:eastAsia="黑体" w:cs="黑体"/>
                <w:sz w:val="32"/>
                <w:szCs w:val="32"/>
                <w:lang w:bidi="ar"/>
              </w:rPr>
              <w:t>审核部门核准意见</w:t>
            </w:r>
          </w:p>
        </w:tc>
      </w:tr>
      <w:tr>
        <w:tblPrEx>
          <w:tblLayout w:type="fixed"/>
          <w:tblCellMar>
            <w:top w:w="15" w:type="dxa"/>
            <w:left w:w="15" w:type="dxa"/>
            <w:bottom w:w="15" w:type="dxa"/>
            <w:right w:w="15" w:type="dxa"/>
          </w:tblCellMar>
        </w:tblPrEx>
        <w:trPr>
          <w:trHeight w:val="866" w:hRule="atLeast"/>
        </w:trPr>
        <w:tc>
          <w:tcPr>
            <w:tcW w:w="9117" w:type="dxa"/>
            <w:gridSpan w:val="8"/>
            <w:tcBorders>
              <w:top w:val="nil"/>
              <w:left w:val="nil"/>
              <w:bottom w:val="single" w:color="000000" w:sz="4" w:space="0"/>
              <w:right w:val="nil"/>
            </w:tcBorders>
            <w:noWrap w:val="0"/>
            <w:vAlign w:val="center"/>
          </w:tcPr>
          <w:p>
            <w:pPr>
              <w:jc w:val="left"/>
              <w:textAlignment w:val="center"/>
              <w:rPr>
                <w:rFonts w:hint="default" w:ascii="Times New Roman" w:hAnsi="Times New Roman" w:eastAsia="黑体" w:cs="黑体"/>
                <w:sz w:val="22"/>
                <w:szCs w:val="22"/>
                <w:lang w:val="en-US"/>
              </w:rPr>
            </w:pPr>
            <w:r>
              <w:rPr>
                <w:rFonts w:hint="eastAsia" w:ascii="Times New Roman" w:hAnsi="Times New Roman" w:eastAsia="黑体" w:cs="黑体"/>
                <w:sz w:val="22"/>
                <w:szCs w:val="22"/>
                <w:lang w:bidi="ar"/>
              </w:rPr>
              <w:t>建设项目名</w:t>
            </w:r>
            <w:r>
              <w:rPr>
                <w:rFonts w:hint="eastAsia" w:ascii="Times New Roman" w:hAnsi="Times New Roman" w:eastAsia="黑体" w:cs="黑体"/>
                <w:sz w:val="22"/>
                <w:szCs w:val="22"/>
                <w:lang w:val="en-US" w:eastAsia="zh-CN" w:bidi="ar"/>
              </w:rPr>
              <w:t>称:木垒县大石头乡阿克达拉村2024年养殖小区建设项目</w:t>
            </w:r>
          </w:p>
        </w:tc>
      </w:tr>
      <w:tr>
        <w:tblPrEx>
          <w:tblLayout w:type="fixed"/>
          <w:tblCellMar>
            <w:top w:w="15" w:type="dxa"/>
            <w:left w:w="15" w:type="dxa"/>
            <w:bottom w:w="15" w:type="dxa"/>
            <w:right w:w="15" w:type="dxa"/>
          </w:tblCellMar>
        </w:tblPrEx>
        <w:trPr>
          <w:trHeight w:val="473" w:hRule="atLeast"/>
        </w:trPr>
        <w:tc>
          <w:tcPr>
            <w:tcW w:w="1440" w:type="dxa"/>
            <w:vMerge w:val="restart"/>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2263"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招标范围</w:t>
            </w:r>
          </w:p>
        </w:tc>
        <w:tc>
          <w:tcPr>
            <w:tcW w:w="1899"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招标组织形式</w:t>
            </w:r>
          </w:p>
        </w:tc>
        <w:tc>
          <w:tcPr>
            <w:tcW w:w="2015"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招标方式</w:t>
            </w:r>
          </w:p>
        </w:tc>
        <w:tc>
          <w:tcPr>
            <w:tcW w:w="1500"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不</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采</w:t>
            </w:r>
            <w:r>
              <w:rPr>
                <w:rFonts w:hint="eastAsia" w:ascii="Times New Roman" w:hAnsi="Times New Roman" w:eastAsia="黑体" w:cs="黑体"/>
                <w:sz w:val="22"/>
                <w:szCs w:val="22"/>
                <w:lang w:val="en-US" w:eastAsia="zh-CN" w:bidi="ar"/>
              </w:rPr>
              <w:t xml:space="preserve"> </w:t>
            </w:r>
            <w:r>
              <w:rPr>
                <w:rFonts w:hint="eastAsia" w:ascii="Times New Roman" w:hAnsi="Times New Roman" w:eastAsia="黑体" w:cs="黑体"/>
                <w:sz w:val="22"/>
                <w:szCs w:val="22"/>
                <w:lang w:bidi="ar"/>
              </w:rPr>
              <w:t>用</w:t>
            </w:r>
            <w:r>
              <w:rPr>
                <w:rFonts w:hint="eastAsia" w:ascii="Times New Roman" w:hAnsi="Times New Roman" w:eastAsia="黑体" w:cs="黑体"/>
                <w:sz w:val="22"/>
                <w:szCs w:val="22"/>
                <w:lang w:bidi="ar"/>
              </w:rPr>
              <w:br w:type="textWrapping"/>
            </w:r>
            <w:r>
              <w:rPr>
                <w:rFonts w:hint="eastAsia" w:ascii="Times New Roman" w:hAnsi="Times New Roman" w:eastAsia="黑体" w:cs="黑体"/>
                <w:sz w:val="22"/>
                <w:szCs w:val="22"/>
                <w:lang w:bidi="ar"/>
              </w:rPr>
              <w:t>招标方式</w:t>
            </w:r>
          </w:p>
        </w:tc>
      </w:tr>
      <w:tr>
        <w:tblPrEx>
          <w:tblLayout w:type="fixed"/>
          <w:tblCellMar>
            <w:top w:w="15" w:type="dxa"/>
            <w:left w:w="15" w:type="dxa"/>
            <w:bottom w:w="15" w:type="dxa"/>
            <w:right w:w="15" w:type="dxa"/>
          </w:tblCellMar>
        </w:tblPrEx>
        <w:trPr>
          <w:trHeight w:val="600" w:hRule="atLeast"/>
        </w:trPr>
        <w:tc>
          <w:tcPr>
            <w:tcW w:w="1440" w:type="dxa"/>
            <w:vMerge w:val="continue"/>
            <w:tcBorders>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全部招标</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部分招标</w:t>
            </w: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自行招标</w:t>
            </w: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委托招标</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公开招标</w:t>
            </w: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邀请招标</w:t>
            </w:r>
          </w:p>
        </w:tc>
        <w:tc>
          <w:tcPr>
            <w:tcW w:w="150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rPr>
            </w:pPr>
          </w:p>
        </w:tc>
      </w:tr>
      <w:tr>
        <w:tblPrEx>
          <w:tblLayout w:type="fixed"/>
          <w:tblCellMar>
            <w:top w:w="15" w:type="dxa"/>
            <w:left w:w="15" w:type="dxa"/>
            <w:bottom w:w="15" w:type="dxa"/>
            <w:right w:w="15" w:type="dxa"/>
          </w:tblCellMar>
        </w:tblPrEx>
        <w:trPr>
          <w:trHeight w:val="449"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勘察</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设计</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452"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建筑工程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安装工程</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r>
              <w:rPr>
                <w:rFonts w:ascii="Times New Roman" w:hAnsi="Times New Roman" w:eastAsia="黑体" w:cs="Arial"/>
                <w:color w:val="auto"/>
                <w:sz w:val="22"/>
                <w:szCs w:val="22"/>
                <w:highlight w:val="none"/>
              </w:rPr>
              <w:t>√</w:t>
            </w: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16"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监理</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38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设备</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kern w:val="2"/>
                <w:sz w:val="22"/>
                <w:szCs w:val="22"/>
                <w:highlight w:val="none"/>
                <w:lang w:val="en-US" w:eastAsia="zh-CN" w:bidi="ar-SA"/>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color w:val="0000FF"/>
                <w:kern w:val="2"/>
                <w:sz w:val="22"/>
                <w:szCs w:val="22"/>
                <w:highlight w:val="none"/>
                <w:lang w:val="en-US" w:eastAsia="zh-CN" w:bidi="ar-SA"/>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464" w:hRule="atLeast"/>
        </w:trPr>
        <w:tc>
          <w:tcPr>
            <w:tcW w:w="1440" w:type="dxa"/>
            <w:tcBorders>
              <w:top w:val="single" w:color="000000" w:sz="4" w:space="0"/>
              <w:left w:val="single" w:color="000000" w:sz="4" w:space="0"/>
              <w:bottom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重要材料</w:t>
            </w:r>
          </w:p>
        </w:tc>
        <w:tc>
          <w:tcPr>
            <w:tcW w:w="123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r>
      <w:tr>
        <w:tblPrEx>
          <w:tblLayout w:type="fixed"/>
          <w:tblCellMar>
            <w:top w:w="15" w:type="dxa"/>
            <w:left w:w="15" w:type="dxa"/>
            <w:bottom w:w="15" w:type="dxa"/>
            <w:right w:w="15" w:type="dxa"/>
          </w:tblCellMar>
        </w:tblPrEx>
        <w:trPr>
          <w:trHeight w:val="546" w:hRule="atLeast"/>
        </w:trPr>
        <w:tc>
          <w:tcPr>
            <w:tcW w:w="1440" w:type="dxa"/>
            <w:tcBorders>
              <w:top w:val="single" w:color="000000" w:sz="4" w:space="0"/>
              <w:left w:val="single" w:color="000000" w:sz="4" w:space="0"/>
              <w:right w:val="single" w:color="000000" w:sz="4" w:space="0"/>
            </w:tcBorders>
            <w:noWrap w:val="0"/>
            <w:vAlign w:val="center"/>
          </w:tcPr>
          <w:p>
            <w:pPr>
              <w:jc w:val="center"/>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其他</w:t>
            </w:r>
          </w:p>
        </w:tc>
        <w:tc>
          <w:tcPr>
            <w:tcW w:w="123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24"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68"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31"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019"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996" w:type="dxa"/>
            <w:tcBorders>
              <w:top w:val="single" w:color="000000" w:sz="4" w:space="0"/>
              <w:left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p>
        </w:tc>
        <w:tc>
          <w:tcPr>
            <w:tcW w:w="1500"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Times New Roman" w:hAnsi="Times New Roman" w:eastAsia="黑体" w:cs="黑体"/>
                <w:sz w:val="22"/>
                <w:szCs w:val="22"/>
                <w:highlight w:val="none"/>
              </w:rPr>
            </w:pPr>
            <w:r>
              <w:rPr>
                <w:rFonts w:ascii="Times New Roman" w:hAnsi="Times New Roman" w:eastAsia="黑体" w:cs="Arial"/>
                <w:color w:val="auto"/>
                <w:sz w:val="22"/>
                <w:szCs w:val="22"/>
                <w:highlight w:val="none"/>
              </w:rPr>
              <w:t>√</w:t>
            </w:r>
          </w:p>
        </w:tc>
      </w:tr>
      <w:tr>
        <w:tblPrEx>
          <w:tblLayout w:type="fixed"/>
          <w:tblCellMar>
            <w:top w:w="15" w:type="dxa"/>
            <w:left w:w="15" w:type="dxa"/>
            <w:bottom w:w="15" w:type="dxa"/>
            <w:right w:w="15" w:type="dxa"/>
          </w:tblCellMar>
        </w:tblPrEx>
        <w:trPr>
          <w:trHeight w:val="5385" w:hRule="atLeast"/>
        </w:trPr>
        <w:tc>
          <w:tcPr>
            <w:tcW w:w="9117" w:type="dxa"/>
            <w:gridSpan w:val="8"/>
            <w:tcBorders>
              <w:top w:val="single" w:color="000000" w:sz="4" w:space="0"/>
              <w:left w:val="single" w:color="000000" w:sz="4" w:space="0"/>
              <w:bottom w:val="single" w:color="000000" w:sz="4" w:space="0"/>
              <w:right w:val="single" w:color="000000" w:sz="4" w:space="0"/>
            </w:tcBorders>
            <w:noWrap w:val="0"/>
            <w:vAlign w:val="center"/>
          </w:tcPr>
          <w:p>
            <w:pPr>
              <w:jc w:val="left"/>
              <w:textAlignment w:val="center"/>
              <w:rPr>
                <w:rFonts w:hint="eastAsia" w:ascii="Times New Roman" w:hAnsi="Times New Roman" w:eastAsia="黑体" w:cs="黑体"/>
                <w:sz w:val="22"/>
                <w:szCs w:val="22"/>
                <w:lang w:bidi="ar"/>
              </w:rPr>
            </w:pPr>
            <w:r>
              <w:rPr>
                <w:rFonts w:hint="eastAsia" w:ascii="Times New Roman" w:hAnsi="Times New Roman" w:eastAsia="黑体" w:cs="黑体"/>
                <w:sz w:val="22"/>
                <w:szCs w:val="22"/>
                <w:lang w:bidi="ar"/>
              </w:rPr>
              <w:t>审核部门核准意见说明：</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rPr>
            </w:pPr>
          </w:p>
          <w:p>
            <w:pPr>
              <w:spacing w:line="480" w:lineRule="auto"/>
              <w:jc w:val="center"/>
              <w:textAlignment w:val="center"/>
              <w:rPr>
                <w:rFonts w:hint="eastAsia" w:ascii="Times New Roman" w:hAnsi="Times New Roman" w:eastAsia="黑体" w:cs="黑体"/>
                <w:sz w:val="44"/>
                <w:szCs w:val="44"/>
                <w:lang w:val="en-US" w:eastAsia="zh-CN" w:bidi="ar"/>
              </w:rPr>
            </w:pPr>
            <w:r>
              <w:rPr>
                <w:rFonts w:hint="eastAsia" w:ascii="Times New Roman" w:hAnsi="Times New Roman" w:eastAsia="黑体" w:cs="黑体"/>
                <w:sz w:val="44"/>
                <w:szCs w:val="44"/>
                <w:lang w:val="en-US" w:eastAsia="zh-CN" w:bidi="ar"/>
              </w:rPr>
              <w:t>核准</w:t>
            </w:r>
          </w:p>
          <w:p>
            <w:pPr>
              <w:pStyle w:val="2"/>
              <w:rPr>
                <w:rFonts w:hint="eastAsia" w:ascii="Times New Roman" w:hAnsi="Times New Roman" w:eastAsia="黑体" w:cs="黑体"/>
                <w:sz w:val="22"/>
                <w:szCs w:val="22"/>
                <w:lang w:bidi="ar"/>
              </w:rPr>
            </w:pPr>
          </w:p>
          <w:p>
            <w:pPr>
              <w:rPr>
                <w:rFonts w:hint="eastAsia" w:ascii="Times New Roman" w:hAnsi="Times New Roman" w:eastAsia="黑体" w:cs="黑体"/>
                <w:sz w:val="22"/>
                <w:szCs w:val="22"/>
                <w:lang w:bidi="ar"/>
              </w:rPr>
            </w:pPr>
          </w:p>
          <w:p>
            <w:pPr>
              <w:pStyle w:val="2"/>
              <w:rPr>
                <w:rFonts w:hint="eastAsia" w:ascii="Times New Roman" w:hAnsi="Times New Roman" w:eastAsia="黑体" w:cs="黑体"/>
                <w:sz w:val="22"/>
                <w:szCs w:val="22"/>
                <w:lang w:bidi="ar"/>
              </w:rPr>
            </w:pPr>
          </w:p>
          <w:p>
            <w:pPr>
              <w:jc w:val="both"/>
              <w:rPr>
                <w:rFonts w:hint="eastAsia" w:ascii="Times New Roman" w:hAnsi="Times New Roman" w:eastAsia="黑体" w:cs="黑体"/>
                <w:sz w:val="24"/>
                <w:szCs w:val="24"/>
              </w:rPr>
            </w:pP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lang w:val="en-US" w:eastAsia="zh-CN" w:bidi="ar"/>
              </w:rPr>
            </w:pPr>
            <w:r>
              <w:rPr>
                <w:rFonts w:hint="eastAsia" w:ascii="Times New Roman" w:hAnsi="Times New Roman" w:eastAsia="黑体" w:cs="黑体"/>
                <w:sz w:val="28"/>
                <w:szCs w:val="28"/>
                <w:lang w:val="en-US" w:eastAsia="zh-CN" w:bidi="ar"/>
              </w:rPr>
              <w:t xml:space="preserve">                                     </w:t>
            </w:r>
            <w:r>
              <w:rPr>
                <w:rFonts w:hint="eastAsia" w:ascii="Times New Roman" w:hAnsi="Times New Roman" w:eastAsia="黑体" w:cs="黑体"/>
                <w:sz w:val="28"/>
                <w:szCs w:val="28"/>
                <w:lang w:bidi="ar"/>
              </w:rPr>
              <w:t xml:space="preserve"> 审批部门盖章                                                            </w:t>
            </w:r>
            <w:r>
              <w:rPr>
                <w:rFonts w:hint="eastAsia" w:ascii="Times New Roman" w:hAnsi="Times New Roman" w:eastAsia="黑体" w:cs="黑体"/>
                <w:sz w:val="28"/>
                <w:szCs w:val="28"/>
                <w:lang w:val="en-US" w:eastAsia="zh-CN" w:bidi="ar"/>
              </w:rPr>
              <w:t xml:space="preserve">                      </w:t>
            </w:r>
          </w:p>
          <w:p>
            <w:pPr>
              <w:spacing w:line="480" w:lineRule="auto"/>
              <w:jc w:val="center"/>
              <w:textAlignment w:val="center"/>
              <w:rPr>
                <w:rFonts w:hint="eastAsia" w:ascii="Times New Roman" w:hAnsi="Times New Roman" w:eastAsia="黑体" w:cs="黑体"/>
                <w:sz w:val="28"/>
                <w:szCs w:val="28"/>
              </w:rPr>
            </w:pPr>
            <w:r>
              <w:rPr>
                <w:rFonts w:hint="eastAsia" w:ascii="Times New Roman" w:hAnsi="Times New Roman" w:eastAsia="黑体" w:cs="黑体"/>
                <w:sz w:val="28"/>
                <w:szCs w:val="28"/>
                <w:lang w:val="en-US" w:eastAsia="zh-CN" w:bidi="ar"/>
              </w:rPr>
              <w:t xml:space="preserve">                                      </w:t>
            </w:r>
            <w:r>
              <w:rPr>
                <w:rFonts w:hint="eastAsia" w:ascii="黑体" w:hAnsi="黑体" w:eastAsia="黑体" w:cs="黑体"/>
                <w:sz w:val="28"/>
                <w:szCs w:val="28"/>
                <w:lang w:bidi="ar"/>
              </w:rPr>
              <w:t>20</w:t>
            </w:r>
            <w:r>
              <w:rPr>
                <w:rFonts w:hint="eastAsia" w:ascii="黑体" w:hAnsi="黑体" w:eastAsia="黑体" w:cs="黑体"/>
                <w:sz w:val="28"/>
                <w:szCs w:val="28"/>
                <w:lang w:val="en-US" w:eastAsia="zh-CN" w:bidi="ar"/>
              </w:rPr>
              <w:t>24</w:t>
            </w:r>
            <w:r>
              <w:rPr>
                <w:rFonts w:hint="eastAsia" w:ascii="黑体" w:hAnsi="黑体" w:eastAsia="黑体" w:cs="黑体"/>
                <w:sz w:val="28"/>
                <w:szCs w:val="28"/>
                <w:lang w:bidi="ar"/>
              </w:rPr>
              <w:t>年</w:t>
            </w:r>
            <w:r>
              <w:rPr>
                <w:rFonts w:hint="eastAsia" w:ascii="黑体" w:hAnsi="黑体" w:eastAsia="黑体" w:cs="黑体"/>
                <w:sz w:val="28"/>
                <w:szCs w:val="28"/>
                <w:lang w:val="en-US" w:eastAsia="zh-CN" w:bidi="ar"/>
              </w:rPr>
              <w:t>6</w:t>
            </w:r>
            <w:r>
              <w:rPr>
                <w:rFonts w:hint="eastAsia" w:ascii="黑体" w:hAnsi="黑体" w:eastAsia="黑体" w:cs="黑体"/>
                <w:sz w:val="28"/>
                <w:szCs w:val="28"/>
                <w:lang w:bidi="ar"/>
              </w:rPr>
              <w:t>月日</w:t>
            </w:r>
          </w:p>
        </w:tc>
      </w:tr>
      <w:tr>
        <w:tblPrEx>
          <w:tblLayout w:type="fixed"/>
          <w:tblCellMar>
            <w:top w:w="15" w:type="dxa"/>
            <w:left w:w="15" w:type="dxa"/>
            <w:bottom w:w="15" w:type="dxa"/>
            <w:right w:w="15" w:type="dxa"/>
          </w:tblCellMar>
        </w:tblPrEx>
        <w:trPr>
          <w:trHeight w:val="285" w:hRule="atLeast"/>
        </w:trPr>
        <w:tc>
          <w:tcPr>
            <w:tcW w:w="9117" w:type="dxa"/>
            <w:gridSpan w:val="8"/>
            <w:noWrap w:val="0"/>
            <w:vAlign w:val="center"/>
          </w:tcPr>
          <w:p>
            <w:pPr>
              <w:jc w:val="left"/>
              <w:textAlignment w:val="center"/>
              <w:rPr>
                <w:rFonts w:hint="eastAsia" w:ascii="Times New Roman" w:hAnsi="Times New Roman" w:eastAsia="黑体" w:cs="黑体"/>
                <w:sz w:val="22"/>
                <w:szCs w:val="22"/>
              </w:rPr>
            </w:pPr>
            <w:r>
              <w:rPr>
                <w:rFonts w:hint="eastAsia" w:ascii="Times New Roman" w:hAnsi="Times New Roman" w:eastAsia="黑体" w:cs="黑体"/>
                <w:sz w:val="22"/>
                <w:szCs w:val="22"/>
                <w:lang w:bidi="ar"/>
              </w:rPr>
              <w:t>注：审批部门在空格注明“核准”或者“不予核准”</w:t>
            </w:r>
          </w:p>
        </w:tc>
      </w:tr>
    </w:tbl>
    <w:p>
      <w:pPr>
        <w:keepNext w:val="0"/>
        <w:keepLines w:val="0"/>
        <w:pageBreakBefore w:val="0"/>
        <w:widowControl w:val="0"/>
        <w:kinsoku/>
        <w:wordWrap/>
        <w:overflowPunct w:val="0"/>
        <w:topLinePunct w:val="0"/>
        <w:autoSpaceDE/>
        <w:autoSpaceDN/>
        <w:bidi w:val="0"/>
        <w:adjustRightInd/>
        <w:snapToGrid/>
        <w:spacing w:line="240" w:lineRule="auto"/>
        <w:jc w:val="left"/>
        <w:textAlignment w:val="auto"/>
        <w:rPr>
          <w:rFonts w:hint="eastAsia" w:ascii="Times New Roman" w:hAnsi="Times New Roman" w:eastAsia="仿宋_GB2312" w:cs="仿宋_GB2312"/>
          <w:sz w:val="18"/>
          <w:szCs w:val="18"/>
          <w:lang w:val="en-US" w:eastAsia="zh-CN"/>
        </w:rPr>
      </w:pPr>
    </w:p>
    <w:sectPr>
      <w:pgSz w:w="11850" w:h="16784"/>
      <w:pgMar w:top="1587" w:right="1474" w:bottom="1474" w:left="1587" w:header="851" w:footer="992" w:gutter="0"/>
      <w:cols w:space="0" w:num="1"/>
      <w:rtlGutter w:val="0"/>
      <w:docGrid w:type="lines" w:linePitch="32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6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xZDkzMDNiNzdlM2ZhNjc1NGY5NDlmMjgwYTA2ZjMifQ=="/>
    <w:docVar w:name="KSO_WPS_MARK_KEY" w:val="f19bada9-a45d-4096-a61c-369f3d5301e8"/>
  </w:docVars>
  <w:rsids>
    <w:rsidRoot w:val="73A67976"/>
    <w:rsid w:val="00AF646B"/>
    <w:rsid w:val="017B0454"/>
    <w:rsid w:val="03A04F32"/>
    <w:rsid w:val="03B3529D"/>
    <w:rsid w:val="03C67388"/>
    <w:rsid w:val="04DA30D9"/>
    <w:rsid w:val="0524013F"/>
    <w:rsid w:val="05600283"/>
    <w:rsid w:val="05D67331"/>
    <w:rsid w:val="06463039"/>
    <w:rsid w:val="0862318E"/>
    <w:rsid w:val="09B81912"/>
    <w:rsid w:val="0A0337A1"/>
    <w:rsid w:val="0A35128A"/>
    <w:rsid w:val="0ADC5FD8"/>
    <w:rsid w:val="0ADF620E"/>
    <w:rsid w:val="0B7B46FE"/>
    <w:rsid w:val="0C550884"/>
    <w:rsid w:val="0C6E7275"/>
    <w:rsid w:val="0C711B61"/>
    <w:rsid w:val="0DC25334"/>
    <w:rsid w:val="0E1D53EF"/>
    <w:rsid w:val="0E827BEC"/>
    <w:rsid w:val="0FA20CC8"/>
    <w:rsid w:val="0FA7589A"/>
    <w:rsid w:val="106D3134"/>
    <w:rsid w:val="112C6D0A"/>
    <w:rsid w:val="11F15837"/>
    <w:rsid w:val="11F54A16"/>
    <w:rsid w:val="127C5A5A"/>
    <w:rsid w:val="12B20000"/>
    <w:rsid w:val="133C654F"/>
    <w:rsid w:val="153D4CD7"/>
    <w:rsid w:val="15597689"/>
    <w:rsid w:val="176F3141"/>
    <w:rsid w:val="17C67534"/>
    <w:rsid w:val="19A22731"/>
    <w:rsid w:val="1AA90BF1"/>
    <w:rsid w:val="1B79605F"/>
    <w:rsid w:val="1C8E7BC6"/>
    <w:rsid w:val="1CDD0197"/>
    <w:rsid w:val="1D104875"/>
    <w:rsid w:val="1E0551CC"/>
    <w:rsid w:val="1E076C82"/>
    <w:rsid w:val="1E42335E"/>
    <w:rsid w:val="1E432C32"/>
    <w:rsid w:val="1E9D3BAA"/>
    <w:rsid w:val="1EBF12DA"/>
    <w:rsid w:val="1F910231"/>
    <w:rsid w:val="22645651"/>
    <w:rsid w:val="228F5316"/>
    <w:rsid w:val="24D1677D"/>
    <w:rsid w:val="2509135D"/>
    <w:rsid w:val="251D1329"/>
    <w:rsid w:val="255F7299"/>
    <w:rsid w:val="276739A8"/>
    <w:rsid w:val="27AF717F"/>
    <w:rsid w:val="27B3406E"/>
    <w:rsid w:val="284F5201"/>
    <w:rsid w:val="287F362C"/>
    <w:rsid w:val="28B202D1"/>
    <w:rsid w:val="29791BFE"/>
    <w:rsid w:val="2ACC3538"/>
    <w:rsid w:val="2B632B65"/>
    <w:rsid w:val="2B722069"/>
    <w:rsid w:val="2B7F7BE5"/>
    <w:rsid w:val="2BCA120E"/>
    <w:rsid w:val="2EB57234"/>
    <w:rsid w:val="2F115E33"/>
    <w:rsid w:val="2FDB2CCA"/>
    <w:rsid w:val="2FE778C1"/>
    <w:rsid w:val="306308F3"/>
    <w:rsid w:val="316A1E7D"/>
    <w:rsid w:val="32D04EE7"/>
    <w:rsid w:val="381B7B8F"/>
    <w:rsid w:val="397C0125"/>
    <w:rsid w:val="3992101D"/>
    <w:rsid w:val="3A315BB2"/>
    <w:rsid w:val="3A494027"/>
    <w:rsid w:val="3AB74DDD"/>
    <w:rsid w:val="3C3A521C"/>
    <w:rsid w:val="3C844DC4"/>
    <w:rsid w:val="3D4E0F7F"/>
    <w:rsid w:val="3D7A2EC4"/>
    <w:rsid w:val="3E5F6CF9"/>
    <w:rsid w:val="3F162EEE"/>
    <w:rsid w:val="3F330503"/>
    <w:rsid w:val="3FB92AD4"/>
    <w:rsid w:val="411728A5"/>
    <w:rsid w:val="418A2377"/>
    <w:rsid w:val="41EF23BA"/>
    <w:rsid w:val="43213DE3"/>
    <w:rsid w:val="43741014"/>
    <w:rsid w:val="447B69B3"/>
    <w:rsid w:val="47D159DD"/>
    <w:rsid w:val="48D23907"/>
    <w:rsid w:val="495E1254"/>
    <w:rsid w:val="4A513E5D"/>
    <w:rsid w:val="4ABF5BFF"/>
    <w:rsid w:val="4ACE3438"/>
    <w:rsid w:val="4AE25D59"/>
    <w:rsid w:val="4B753C73"/>
    <w:rsid w:val="4C35316B"/>
    <w:rsid w:val="4C9345C9"/>
    <w:rsid w:val="4D9705EA"/>
    <w:rsid w:val="4DE23569"/>
    <w:rsid w:val="4E7424E1"/>
    <w:rsid w:val="50245B53"/>
    <w:rsid w:val="508036EE"/>
    <w:rsid w:val="51555EAB"/>
    <w:rsid w:val="52AC362B"/>
    <w:rsid w:val="542E15C4"/>
    <w:rsid w:val="54594C92"/>
    <w:rsid w:val="54847B51"/>
    <w:rsid w:val="56091A90"/>
    <w:rsid w:val="572428C2"/>
    <w:rsid w:val="57B82964"/>
    <w:rsid w:val="58966525"/>
    <w:rsid w:val="58B56D36"/>
    <w:rsid w:val="58D473C9"/>
    <w:rsid w:val="59174A0D"/>
    <w:rsid w:val="59E03A2B"/>
    <w:rsid w:val="5C8A6B83"/>
    <w:rsid w:val="5CF214D0"/>
    <w:rsid w:val="5DD376C4"/>
    <w:rsid w:val="5E76463C"/>
    <w:rsid w:val="5F553DA0"/>
    <w:rsid w:val="5F5C0E82"/>
    <w:rsid w:val="5FA61F01"/>
    <w:rsid w:val="5FF778F0"/>
    <w:rsid w:val="602D102C"/>
    <w:rsid w:val="60953E97"/>
    <w:rsid w:val="60A6456E"/>
    <w:rsid w:val="62782477"/>
    <w:rsid w:val="63542768"/>
    <w:rsid w:val="64F32E41"/>
    <w:rsid w:val="654A5CCA"/>
    <w:rsid w:val="65BD34FD"/>
    <w:rsid w:val="663A7A43"/>
    <w:rsid w:val="66B242B1"/>
    <w:rsid w:val="66CD6B09"/>
    <w:rsid w:val="67E604D7"/>
    <w:rsid w:val="69343E00"/>
    <w:rsid w:val="6A0018A7"/>
    <w:rsid w:val="6A695C0E"/>
    <w:rsid w:val="6AD964FA"/>
    <w:rsid w:val="6B455C07"/>
    <w:rsid w:val="6C0144B9"/>
    <w:rsid w:val="6C5D4159"/>
    <w:rsid w:val="6CBE1B8F"/>
    <w:rsid w:val="6D973994"/>
    <w:rsid w:val="6DFA4688"/>
    <w:rsid w:val="6EC04532"/>
    <w:rsid w:val="6F0E430A"/>
    <w:rsid w:val="6F1F7EE0"/>
    <w:rsid w:val="6F2C6506"/>
    <w:rsid w:val="6F5F2A9C"/>
    <w:rsid w:val="6FCC0136"/>
    <w:rsid w:val="70FF6B30"/>
    <w:rsid w:val="711060E4"/>
    <w:rsid w:val="717F13BB"/>
    <w:rsid w:val="71880C5D"/>
    <w:rsid w:val="73A67976"/>
    <w:rsid w:val="752E6AED"/>
    <w:rsid w:val="75C64E50"/>
    <w:rsid w:val="75C946B0"/>
    <w:rsid w:val="75E67C61"/>
    <w:rsid w:val="76015AD0"/>
    <w:rsid w:val="76107DFA"/>
    <w:rsid w:val="773D78F1"/>
    <w:rsid w:val="78574485"/>
    <w:rsid w:val="78B939EA"/>
    <w:rsid w:val="78E25BD0"/>
    <w:rsid w:val="79367053"/>
    <w:rsid w:val="7A884B78"/>
    <w:rsid w:val="7B364826"/>
    <w:rsid w:val="7B56460B"/>
    <w:rsid w:val="7BAB356C"/>
    <w:rsid w:val="7BD749DB"/>
    <w:rsid w:val="7C573113"/>
    <w:rsid w:val="7C884B49"/>
    <w:rsid w:val="7C94044F"/>
    <w:rsid w:val="7CBF1F74"/>
    <w:rsid w:val="7CFB4952"/>
    <w:rsid w:val="7E6402D0"/>
    <w:rsid w:val="7EBF7CD2"/>
    <w:rsid w:val="7FD95D07"/>
    <w:rsid w:val="7FEC6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toc 3"/>
    <w:basedOn w:val="1"/>
    <w:next w:val="1"/>
    <w:qFormat/>
    <w:uiPriority w:val="0"/>
    <w:pPr>
      <w:ind w:left="560"/>
      <w:jc w:val="left"/>
    </w:pPr>
    <w:rPr>
      <w:rFonts w:ascii="Calibri" w:hAnsi="Calibri" w:cs="Calibri"/>
      <w:i/>
      <w:iCs/>
      <w:sz w:val="20"/>
      <w:szCs w:val="20"/>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7">
    <w:name w:val="15"/>
    <w:basedOn w:val="6"/>
    <w:qFormat/>
    <w:uiPriority w:val="99"/>
    <w:rPr>
      <w:rFonts w:ascii="Times New Roman" w:hAnsi="Times New Roman" w:cs="Times New Roman"/>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1180</Words>
  <Characters>1219</Characters>
  <Lines>0</Lines>
  <Paragraphs>0</Paragraphs>
  <TotalTime>348</TotalTime>
  <ScaleCrop>false</ScaleCrop>
  <LinksUpToDate>false</LinksUpToDate>
  <CharactersWithSpaces>1461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2019-01-08T03:23:00Z</dcterms:created>
  <dc:creator>樱桃</dc:creator>
  <cp:lastModifiedBy>Administrator</cp:lastModifiedBy>
  <cp:lastPrinted>2024-06-25T11:03:00Z</cp:lastPrinted>
  <dcterms:modified xsi:type="dcterms:W3CDTF">2024-07-30T04:58:55Z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0F7BBD3564394B14A5929D03537CBF28_13</vt:lpwstr>
  </property>
</Properties>
</file>