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289</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olor w:val="000000"/>
          <w:sz w:val="44"/>
          <w:szCs w:val="44"/>
        </w:rPr>
      </w:pPr>
      <w:r>
        <w:rPr>
          <w:rFonts w:hint="eastAsia" w:ascii="Times New Roman" w:hAnsi="Times New Roman" w:eastAsia="方正小标宋简体"/>
          <w:sz w:val="44"/>
          <w:szCs w:val="44"/>
          <w:lang w:eastAsia="zh-CN"/>
        </w:rPr>
        <w:t>木垒县发展改革委关于</w:t>
      </w:r>
      <w:r>
        <w:rPr>
          <w:rFonts w:hint="eastAsia" w:ascii="Times New Roman" w:hAnsi="Times New Roman" w:eastAsia="方正小标宋简体"/>
          <w:sz w:val="44"/>
          <w:szCs w:val="44"/>
          <w:lang w:val="en-US" w:eastAsia="zh-CN"/>
        </w:rPr>
        <w:t>木垒县工人文化宫改建项目可行性研究报告（代项目建议书）</w:t>
      </w:r>
      <w:r>
        <w:rPr>
          <w:rFonts w:hint="eastAsia" w:ascii="Times New Roman" w:hAnsi="Times New Roman" w:eastAsia="方正小标宋简体"/>
          <w:color w:val="000000"/>
          <w:sz w:val="44"/>
          <w:szCs w:val="44"/>
        </w:rPr>
        <w:t>的</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木垒县总工会</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报来《关于木垒县工人文化宫改建项目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木县工发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31</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为适应新时代干部职工精神文化需求，更好发挥工人文化宫在组织、教育、引导和团结职工群众等方面的积极作用，使工人文化宫成为展现工会组织政治性、先进性、群众性的重要窗口和平台。同意实施木垒县工人文化宫改建项目（项目代码）。</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木垒县文化体育中心</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改造木垒县文化体育中心为工人文化宫，重塑一楼为劳模展厅、接待室、办公室等；重塑二楼为职工书吧、法律援助中心、心理援助咨询中心等；三楼升级改造健身房与培训室；更新建筑外观与内部设施，包括结构调整、装修升级、安全系统强化照明改善；购置设备与装饰。</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项目总投资：700万元，</w:t>
      </w:r>
      <w:r>
        <w:rPr>
          <w:rFonts w:hint="eastAsia" w:ascii="仿宋_GB2312" w:hAnsi="仿宋_GB2312" w:eastAsia="仿宋_GB2312" w:cs="仿宋_GB2312"/>
          <w:sz w:val="32"/>
          <w:szCs w:val="32"/>
          <w:lang w:val="en-US" w:eastAsia="zh-CN"/>
        </w:rPr>
        <w:t>资金来源为自治区总工会专项资金 450 万元及昌吉州总工会专项资金 250 万。</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w:t>
      </w:r>
      <w:r>
        <w:rPr>
          <w:rFonts w:hint="eastAsia" w:ascii="Times New Roman" w:hAnsi="Times New Roman" w:eastAsia="仿宋_GB2312" w:cs="方正仿宋简体"/>
          <w:spacing w:val="-6"/>
          <w:kern w:val="0"/>
          <w:sz w:val="32"/>
          <w:lang w:val="en-US" w:eastAsia="zh-CN"/>
        </w:rPr>
        <w:t>县总工会，</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项目日常监管责任单位：昌吉回族自治州总工会，负责项目的日常监管、现场核查和监督检查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2024年8月日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8</w:t>
            </w:r>
            <w:r>
              <w:rPr>
                <w:rFonts w:hint="eastAsia" w:ascii="Times New Roman" w:hAnsi="Times New Roman" w:eastAsia="仿宋_GB2312"/>
                <w:sz w:val="32"/>
                <w:szCs w:val="32"/>
                <w:u w:val="none" w:color="auto"/>
              </w:rPr>
              <w:t>月日印发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称:木垒县工人文化宫改建项目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8</w:t>
            </w:r>
            <w:r>
              <w:rPr>
                <w:rFonts w:hint="eastAsia" w:ascii="黑体" w:hAnsi="黑体" w:eastAsia="黑体" w:cs="黑体"/>
                <w:sz w:val="28"/>
                <w:szCs w:val="28"/>
                <w:lang w:bidi="ar"/>
              </w:rPr>
              <w:t>月日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GRmYzVmNDBiMzRlN2ZmMjAzMWRhNTliOTA3MTAifQ=="/>
    <w:docVar w:name="KSO_WPS_MARK_KEY" w:val="f19bada9-a45d-4096-a61c-369f3d5301e8"/>
  </w:docVars>
  <w:rsids>
    <w:rsidRoot w:val="73A67976"/>
    <w:rsid w:val="00AF646B"/>
    <w:rsid w:val="017B0454"/>
    <w:rsid w:val="03A04F32"/>
    <w:rsid w:val="03B3529D"/>
    <w:rsid w:val="03C67388"/>
    <w:rsid w:val="04DA30D9"/>
    <w:rsid w:val="0524013F"/>
    <w:rsid w:val="05D67331"/>
    <w:rsid w:val="0862318E"/>
    <w:rsid w:val="0A0337A1"/>
    <w:rsid w:val="0A35128A"/>
    <w:rsid w:val="0ADF620E"/>
    <w:rsid w:val="0B7B46FE"/>
    <w:rsid w:val="0C550884"/>
    <w:rsid w:val="0C6E7275"/>
    <w:rsid w:val="0C711B61"/>
    <w:rsid w:val="0DC25334"/>
    <w:rsid w:val="0E1D53EF"/>
    <w:rsid w:val="0E827BEC"/>
    <w:rsid w:val="0FA20CC8"/>
    <w:rsid w:val="0FA7589A"/>
    <w:rsid w:val="106D3134"/>
    <w:rsid w:val="112C6D0A"/>
    <w:rsid w:val="11F15837"/>
    <w:rsid w:val="11F54A16"/>
    <w:rsid w:val="127C5A5A"/>
    <w:rsid w:val="12B20000"/>
    <w:rsid w:val="133C654F"/>
    <w:rsid w:val="153D4CD7"/>
    <w:rsid w:val="15597689"/>
    <w:rsid w:val="176F3141"/>
    <w:rsid w:val="17C67534"/>
    <w:rsid w:val="19A22731"/>
    <w:rsid w:val="1AA90BF1"/>
    <w:rsid w:val="1B79605F"/>
    <w:rsid w:val="1BD501D7"/>
    <w:rsid w:val="1C8E7BC6"/>
    <w:rsid w:val="1CDD0197"/>
    <w:rsid w:val="1D104875"/>
    <w:rsid w:val="1E0551CC"/>
    <w:rsid w:val="1E076C82"/>
    <w:rsid w:val="1E42335E"/>
    <w:rsid w:val="1E432C32"/>
    <w:rsid w:val="1E9D3BAA"/>
    <w:rsid w:val="1EAF4854"/>
    <w:rsid w:val="1EBF12DA"/>
    <w:rsid w:val="1F910231"/>
    <w:rsid w:val="22645651"/>
    <w:rsid w:val="228F5316"/>
    <w:rsid w:val="24D1677D"/>
    <w:rsid w:val="2509135D"/>
    <w:rsid w:val="251D1329"/>
    <w:rsid w:val="255F7299"/>
    <w:rsid w:val="276739A8"/>
    <w:rsid w:val="27AF717F"/>
    <w:rsid w:val="27F67E3B"/>
    <w:rsid w:val="284F5201"/>
    <w:rsid w:val="287F362C"/>
    <w:rsid w:val="28B202D1"/>
    <w:rsid w:val="29791BFE"/>
    <w:rsid w:val="2A530378"/>
    <w:rsid w:val="2ACC3538"/>
    <w:rsid w:val="2B632B65"/>
    <w:rsid w:val="2B722069"/>
    <w:rsid w:val="2B7F7BE5"/>
    <w:rsid w:val="2BCA120E"/>
    <w:rsid w:val="2EB57234"/>
    <w:rsid w:val="2F115E33"/>
    <w:rsid w:val="2FDB2CCA"/>
    <w:rsid w:val="2FE778C1"/>
    <w:rsid w:val="306308F3"/>
    <w:rsid w:val="316A1E7D"/>
    <w:rsid w:val="32D04EE7"/>
    <w:rsid w:val="331707B8"/>
    <w:rsid w:val="33F1377B"/>
    <w:rsid w:val="36C56087"/>
    <w:rsid w:val="381B7B8F"/>
    <w:rsid w:val="397C0125"/>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68A4B6C"/>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BE1B8F"/>
    <w:rsid w:val="6D973994"/>
    <w:rsid w:val="6DFA4688"/>
    <w:rsid w:val="6F0E430A"/>
    <w:rsid w:val="6F1F7EE0"/>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B939EA"/>
    <w:rsid w:val="78E25BD0"/>
    <w:rsid w:val="79367053"/>
    <w:rsid w:val="7A884B78"/>
    <w:rsid w:val="7B364826"/>
    <w:rsid w:val="7B56460B"/>
    <w:rsid w:val="7BAB356C"/>
    <w:rsid w:val="7C573113"/>
    <w:rsid w:val="7C94044F"/>
    <w:rsid w:val="7CBF1F74"/>
    <w:rsid w:val="7CFB495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1335</Characters>
  <Lines>0</Lines>
  <Paragraphs>0</Paragraphs>
  <TotalTime>18</TotalTime>
  <ScaleCrop>false</ScaleCrop>
  <LinksUpToDate>false</LinksUpToDate>
  <CharactersWithSpaces>1577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2024-08-27T08:45:25Z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DA4533184A7E4BEBAC10F9B227389F8D</vt:lpwstr>
  </property>
</Properties>
</file>