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364</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木垒县发展改革委关于</w:t>
      </w:r>
      <w:r>
        <w:rPr>
          <w:rFonts w:hint="eastAsia" w:ascii="方正小标宋简体" w:hAnsi="Calibri" w:eastAsia="方正小标宋简体" w:cs="Times New Roman"/>
          <w:spacing w:val="-16"/>
          <w:sz w:val="44"/>
          <w:szCs w:val="44"/>
          <w:lang w:val="en-US" w:eastAsia="zh-CN"/>
        </w:rPr>
        <w:t>木垒县西吉尔镇乡村产业发展建设项目</w:t>
      </w:r>
      <w:r>
        <w:rPr>
          <w:rFonts w:hint="eastAsia" w:ascii="Times New Roman" w:hAnsi="Times New Roman" w:eastAsia="方正小标宋简体"/>
          <w:sz w:val="44"/>
          <w:szCs w:val="44"/>
          <w:lang w:val="en-US" w:eastAsia="zh-CN"/>
        </w:rPr>
        <w:t>可行性研究报告</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val="en-US" w:eastAsia="zh-CN"/>
        </w:rPr>
        <w:t>（代项目建议书）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西吉尔镇人民政府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报来《关于木垒县西吉尔镇乡村产业发展建设项目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西镇政发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11</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一、为进一步改善种养殖设施，减少粪污排放，保护农村生态环境，实现乡村产业的可持续发展，同意实施木垒县西吉尔镇乡村产业发展建设项目（项目代码2408-652328-04-01-340279）。</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西吉尔镇果树园子村、西吉尔村。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1.果树园子村：150亩果园提升改造，安装围栏5公里，滴灌铺设，保鲜库提升改造，安装监控等;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2.西吉尔村：新建400平方米圈舍5座，</w:t>
      </w:r>
      <w:bookmarkStart w:id="0" w:name="_GoBack"/>
      <w:bookmarkEnd w:id="0"/>
      <w:r>
        <w:rPr>
          <w:rFonts w:hint="eastAsia" w:ascii="Times New Roman" w:hAnsi="Times New Roman" w:eastAsia="仿宋_GB2312" w:cs="仿宋_GB2312"/>
          <w:spacing w:val="-6"/>
          <w:sz w:val="32"/>
          <w:szCs w:val="32"/>
          <w:highlight w:val="none"/>
          <w:lang w:val="en-US" w:eastAsia="zh-CN"/>
        </w:rPr>
        <w:t>共计2000平方米，活动区1500平方米，自来水管网3公里及配套附属设施建设等。</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项目总投资为</w:t>
      </w:r>
      <w:r>
        <w:rPr>
          <w:rFonts w:hint="eastAsia" w:ascii="Times New Roman" w:hAnsi="Times New Roman" w:eastAsia="仿宋_GB2312" w:cs="仿宋_GB2312"/>
          <w:spacing w:val="-6"/>
          <w:sz w:val="32"/>
          <w:szCs w:val="32"/>
          <w:highlight w:val="none"/>
          <w:lang w:val="en-US" w:eastAsia="zh-CN"/>
        </w:rPr>
        <w:t>465</w:t>
      </w:r>
      <w:r>
        <w:rPr>
          <w:rFonts w:hint="eastAsia" w:ascii="Times New Roman" w:hAnsi="Times New Roman" w:eastAsia="仿宋_GB2312" w:cs="仿宋_GB2312"/>
          <w:spacing w:val="-6"/>
          <w:sz w:val="32"/>
          <w:szCs w:val="32"/>
          <w:lang w:val="en-US" w:eastAsia="zh-CN"/>
        </w:rPr>
        <w:t>万元，资金来源为2024年昌吉州财政衔接推进乡村振兴补助资金。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项目单位（法人）：木垒县西吉尔镇人民政府。</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 xml:space="preserve">项目日常监管责任单位为木垒县农业农村局，负责项目的日常监管、现场核查和监督检查。 </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附件1：审批部门核准意见</w:t>
      </w:r>
    </w:p>
    <w:p>
      <w:pPr>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2024年10月23日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sz w:val="24"/>
          <w:szCs w:val="32"/>
          <w:lang w:val="en-US" w:eastAsia="zh-CN"/>
        </w:rPr>
      </w:pPr>
    </w:p>
    <w:p>
      <w:pPr>
        <w:pStyle w:val="2"/>
        <w:rPr>
          <w:rFonts w:hint="eastAsia"/>
          <w:sz w:val="24"/>
          <w:szCs w:val="32"/>
          <w:lang w:val="en-US" w:eastAsia="zh-CN"/>
        </w:rPr>
      </w:pPr>
    </w:p>
    <w:p>
      <w:pPr>
        <w:rPr>
          <w:rFonts w:hint="eastAsia"/>
          <w:sz w:val="24"/>
          <w:szCs w:val="32"/>
          <w:lang w:val="en-US" w:eastAsia="zh-CN"/>
        </w:rPr>
      </w:pPr>
    </w:p>
    <w:p>
      <w:pPr>
        <w:pStyle w:val="2"/>
        <w:rPr>
          <w:rFonts w:hint="eastAsia"/>
          <w:sz w:val="24"/>
          <w:szCs w:val="32"/>
          <w:lang w:val="en-US" w:eastAsia="zh-CN"/>
        </w:rPr>
      </w:pPr>
    </w:p>
    <w:p>
      <w:pPr>
        <w:rPr>
          <w:rFonts w:hint="eastAsia"/>
          <w:sz w:val="24"/>
          <w:szCs w:val="32"/>
          <w:lang w:val="en-US" w:eastAsia="zh-CN"/>
        </w:rPr>
      </w:pPr>
    </w:p>
    <w:p>
      <w:pPr>
        <w:pStyle w:val="2"/>
        <w:rPr>
          <w:rFonts w:hint="eastAsia"/>
          <w:lang w:val="en-US" w:eastAsia="zh-CN"/>
        </w:rPr>
      </w:pPr>
    </w:p>
    <w:p>
      <w:pPr>
        <w:pStyle w:val="2"/>
        <w:rPr>
          <w:rFonts w:hint="eastAsia"/>
          <w:lang w:val="en-US" w:eastAsia="zh-CN"/>
        </w:rPr>
      </w:pPr>
    </w:p>
    <w:tbl>
      <w:tblPr>
        <w:tblStyle w:val="5"/>
        <w:tblpPr w:leftFromText="180" w:rightFromText="180" w:vertAnchor="text" w:horzAnchor="page" w:tblpX="1561" w:tblpY="567"/>
        <w:tblOverlap w:val="never"/>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10</w:t>
            </w:r>
            <w:r>
              <w:rPr>
                <w:rFonts w:hint="eastAsia" w:ascii="Times New Roman" w:hAnsi="Times New Roman" w:eastAsia="仿宋_GB2312"/>
                <w:sz w:val="32"/>
                <w:szCs w:val="32"/>
                <w:u w:val="none" w:color="auto"/>
              </w:rPr>
              <w:t>月</w:t>
            </w:r>
            <w:r>
              <w:rPr>
                <w:rFonts w:hint="eastAsia" w:ascii="Times New Roman" w:hAnsi="Times New Roman" w:eastAsia="仿宋_GB2312"/>
                <w:sz w:val="32"/>
                <w:szCs w:val="32"/>
                <w:u w:val="none" w:color="auto"/>
                <w:lang w:val="en-US" w:eastAsia="zh-CN"/>
              </w:rPr>
              <w:t>23</w:t>
            </w:r>
            <w:r>
              <w:rPr>
                <w:rFonts w:hint="eastAsia" w:ascii="Times New Roman" w:hAnsi="Times New Roman" w:eastAsia="仿宋_GB2312"/>
                <w:sz w:val="32"/>
                <w:szCs w:val="32"/>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Layout w:type="fixed"/>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w:t>
            </w:r>
          </w:p>
        </w:tc>
      </w:tr>
      <w:tr>
        <w:tblPrEx>
          <w:tblLayout w:type="fixed"/>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Layout w:type="fixed"/>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w:t>
            </w:r>
            <w:r>
              <w:rPr>
                <w:rFonts w:hint="eastAsia" w:ascii="Times New Roman" w:hAnsi="Times New Roman" w:eastAsia="黑体" w:cs="黑体"/>
                <w:sz w:val="22"/>
                <w:szCs w:val="22"/>
                <w:highlight w:val="none"/>
                <w:lang w:val="en-US" w:eastAsia="zh-CN" w:bidi="ar"/>
              </w:rPr>
              <w:t>木垒县西吉尔镇乡村产业发展建设项目</w:t>
            </w:r>
          </w:p>
        </w:tc>
      </w:tr>
      <w:tr>
        <w:tblPrEx>
          <w:tblLayout w:type="fixed"/>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Layout w:type="fixed"/>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Layout w:type="fixed"/>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10</w:t>
            </w:r>
            <w:r>
              <w:rPr>
                <w:rFonts w:hint="eastAsia" w:ascii="黑体" w:hAnsi="黑体" w:eastAsia="黑体" w:cs="黑体"/>
                <w:sz w:val="28"/>
                <w:szCs w:val="28"/>
                <w:lang w:bidi="ar"/>
              </w:rPr>
              <w:t>月</w:t>
            </w:r>
            <w:r>
              <w:rPr>
                <w:rFonts w:hint="eastAsia" w:ascii="黑体" w:hAnsi="黑体" w:eastAsia="黑体" w:cs="黑体"/>
                <w:sz w:val="28"/>
                <w:szCs w:val="28"/>
                <w:lang w:val="en-US" w:eastAsia="zh-CN" w:bidi="ar"/>
              </w:rPr>
              <w:t>23</w:t>
            </w:r>
            <w:r>
              <w:rPr>
                <w:rFonts w:hint="eastAsia" w:ascii="黑体" w:hAnsi="黑体" w:eastAsia="黑体" w:cs="黑体"/>
                <w:sz w:val="28"/>
                <w:szCs w:val="28"/>
                <w:lang w:bidi="ar"/>
              </w:rPr>
              <w:t>日</w:t>
            </w:r>
          </w:p>
        </w:tc>
      </w:tr>
      <w:tr>
        <w:tblPrEx>
          <w:tblLayout w:type="fixed"/>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GRmYzVmNDBiMzRlN2ZmMjAzMWRhNTliOTA3MTAifQ=="/>
    <w:docVar w:name="KSO_WPS_MARK_KEY" w:val="f19bada9-a45d-4096-a61c-369f3d5301e8"/>
  </w:docVars>
  <w:rsids>
    <w:rsidRoot w:val="73A67976"/>
    <w:rsid w:val="00AF646B"/>
    <w:rsid w:val="017B0454"/>
    <w:rsid w:val="02284E18"/>
    <w:rsid w:val="03A04F32"/>
    <w:rsid w:val="03B3529D"/>
    <w:rsid w:val="03C67388"/>
    <w:rsid w:val="04DA30D9"/>
    <w:rsid w:val="0524013F"/>
    <w:rsid w:val="05D67331"/>
    <w:rsid w:val="07E43B24"/>
    <w:rsid w:val="0862318E"/>
    <w:rsid w:val="0A0337A1"/>
    <w:rsid w:val="0A35128A"/>
    <w:rsid w:val="0ADF620E"/>
    <w:rsid w:val="0B7B46FE"/>
    <w:rsid w:val="0C550884"/>
    <w:rsid w:val="0C6E7275"/>
    <w:rsid w:val="0C711B61"/>
    <w:rsid w:val="0DC25334"/>
    <w:rsid w:val="0E1D53EF"/>
    <w:rsid w:val="0E827BEC"/>
    <w:rsid w:val="0FA20CC8"/>
    <w:rsid w:val="0FA7589A"/>
    <w:rsid w:val="106D3134"/>
    <w:rsid w:val="10D16EA4"/>
    <w:rsid w:val="112C6D0A"/>
    <w:rsid w:val="11F15837"/>
    <w:rsid w:val="11F54A16"/>
    <w:rsid w:val="127C5A5A"/>
    <w:rsid w:val="12B20000"/>
    <w:rsid w:val="133C654F"/>
    <w:rsid w:val="153D4CD7"/>
    <w:rsid w:val="15597689"/>
    <w:rsid w:val="176F3141"/>
    <w:rsid w:val="17C67534"/>
    <w:rsid w:val="19A22731"/>
    <w:rsid w:val="1AA90BF1"/>
    <w:rsid w:val="1B79605F"/>
    <w:rsid w:val="1B9254E0"/>
    <w:rsid w:val="1C8E7BC6"/>
    <w:rsid w:val="1CDD0197"/>
    <w:rsid w:val="1D104875"/>
    <w:rsid w:val="1E0551CC"/>
    <w:rsid w:val="1E076C82"/>
    <w:rsid w:val="1E42335E"/>
    <w:rsid w:val="1E432C32"/>
    <w:rsid w:val="1E834BD7"/>
    <w:rsid w:val="1E9D3BAA"/>
    <w:rsid w:val="1EAF4854"/>
    <w:rsid w:val="1EBF12DA"/>
    <w:rsid w:val="1F910231"/>
    <w:rsid w:val="22645651"/>
    <w:rsid w:val="228F5316"/>
    <w:rsid w:val="2357260D"/>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3D2CF4"/>
    <w:rsid w:val="306308F3"/>
    <w:rsid w:val="316A1E7D"/>
    <w:rsid w:val="31D26B77"/>
    <w:rsid w:val="32D04EE7"/>
    <w:rsid w:val="331707B8"/>
    <w:rsid w:val="3417196A"/>
    <w:rsid w:val="346438F5"/>
    <w:rsid w:val="34CA7CA6"/>
    <w:rsid w:val="36C56087"/>
    <w:rsid w:val="381B7B8F"/>
    <w:rsid w:val="397C0125"/>
    <w:rsid w:val="39D27F87"/>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6622D39"/>
    <w:rsid w:val="572428C2"/>
    <w:rsid w:val="57635486"/>
    <w:rsid w:val="57B82964"/>
    <w:rsid w:val="58966525"/>
    <w:rsid w:val="58B56D36"/>
    <w:rsid w:val="58D473C9"/>
    <w:rsid w:val="59174A0D"/>
    <w:rsid w:val="59E03A2B"/>
    <w:rsid w:val="5C8A6B83"/>
    <w:rsid w:val="5CF214D0"/>
    <w:rsid w:val="5D86140D"/>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89C55AA"/>
    <w:rsid w:val="69343E00"/>
    <w:rsid w:val="6A0018A7"/>
    <w:rsid w:val="6A695C0E"/>
    <w:rsid w:val="6B455C07"/>
    <w:rsid w:val="6C0144B9"/>
    <w:rsid w:val="6C5D4159"/>
    <w:rsid w:val="6CBE1B8F"/>
    <w:rsid w:val="6D973994"/>
    <w:rsid w:val="6DFA4688"/>
    <w:rsid w:val="6F0E430A"/>
    <w:rsid w:val="6F1F7EE0"/>
    <w:rsid w:val="6F47402E"/>
    <w:rsid w:val="6F5F2A9C"/>
    <w:rsid w:val="6FCC0136"/>
    <w:rsid w:val="70FF6B30"/>
    <w:rsid w:val="711060E4"/>
    <w:rsid w:val="717F13BB"/>
    <w:rsid w:val="71880C5D"/>
    <w:rsid w:val="73A67976"/>
    <w:rsid w:val="752E6AED"/>
    <w:rsid w:val="75C64E50"/>
    <w:rsid w:val="75C946B0"/>
    <w:rsid w:val="75E67C61"/>
    <w:rsid w:val="76015AD0"/>
    <w:rsid w:val="76107DFA"/>
    <w:rsid w:val="773D78F1"/>
    <w:rsid w:val="7822287F"/>
    <w:rsid w:val="78574485"/>
    <w:rsid w:val="78B939EA"/>
    <w:rsid w:val="78E25BD0"/>
    <w:rsid w:val="79367053"/>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1251</Words>
  <Characters>1317</Characters>
  <Lines>0</Lines>
  <Paragraphs>0</Paragraphs>
  <TotalTime>43</TotalTime>
  <ScaleCrop>false</ScaleCrop>
  <LinksUpToDate>false</LinksUpToDate>
  <CharactersWithSpaces>1555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Administrator</cp:lastModifiedBy>
  <cp:lastPrinted>2024-10-24T04:26:00Z</cp:lastPrinted>
  <dcterms:modified xsi:type="dcterms:W3CDTF">2024-10-24T05:24:55Z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C94DE3F57E2D4FA29067228BF7B58494</vt:lpwstr>
  </property>
</Properties>
</file>