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</w:rPr>
        <w:t>木垒县2020年撤并建制村通硬化路建设项目第一合同段</w:t>
      </w:r>
    </w:p>
    <w:bookmarkEnd w:id="0"/>
    <w:p>
      <w:pPr>
        <w:numPr>
          <w:ilvl w:val="0"/>
          <w:numId w:val="1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0500" cy="5734685"/>
            <wp:effectExtent l="0" t="0" r="635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73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8595" cy="5585460"/>
            <wp:effectExtent l="0" t="0" r="825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58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9230" cy="6073140"/>
            <wp:effectExtent l="0" t="0" r="7620" b="381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07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9865" cy="5885815"/>
            <wp:effectExtent l="0" t="0" r="6985" b="63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88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</w:t>
      </w:r>
    </w:p>
    <w:p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3675" cy="5979795"/>
            <wp:effectExtent l="0" t="0" r="3175" b="190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97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27C9"/>
    <w:multiLevelType w:val="singleLevel"/>
    <w:tmpl w:val="174427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67C36"/>
    <w:rsid w:val="7AA6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2020-11-05T08:45:00Z</dcterms:created>
  <dc:creator>木垒交通局\哈里</dc:creator>
  <cp:lastModifiedBy>木垒交通局\哈里</cp:lastModifiedBy>
  <dcterms:modified xsi:type="dcterms:W3CDTF">2020-11-05T08:48:18Z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