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charts/chart3.xml" ContentType="application/vnd.openxmlformats-officedocument.drawingml.chart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numbering.xml" ContentType="application/vnd.openxmlformats-officedocument.wordprocessingml.numbering+xml"/>
  <Override PartName="/word/charts/colors3.xml" ContentType="application/vnd.ms-office.chartcolorstyle+xml"/>
  <Override PartName="/word/charts/style2.xml" ContentType="application/vnd.ms-office.chartstyle+xml"/>
  <Override PartName="/word/settings.xml" ContentType="application/vnd.openxmlformats-officedocument.wordprocessingml.settings+xml"/>
  <Override PartName="/word/charts/style4.xml" ContentType="application/vnd.ms-office.chartstyle+xml"/>
  <Override PartName="/docProps/custom.xml" ContentType="application/vnd.openxmlformats-officedocument.custom-properties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colors4.xml" ContentType="application/vnd.ms-office.chartcolorstyle+xml"/>
  <Override PartName="/word/document.xml" ContentType="application/vnd.openxmlformats-officedocument.wordprocessingml.document.main+xml"/>
  <Override PartName="/word/charts/chart2.xml" ContentType="application/vnd.openxmlformats-officedocument.drawingml.chart+xml"/>
  <Override PartName="/word/charts/style1.xml" ContentType="application/vnd.ms-office.chartsty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charts/style3.xml" ContentType="application/vnd.ms-office.chartstyle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center"/>
        <w:textAlignment w:val="auto"/>
        <w:rPr>
          <w:rFonts w:ascii="方正小标宋简体" w:cs="方正小标宋简体" w:eastAsia="方正小标宋简体" w:hAnsi="方正小标宋简体"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ascii="方正小标宋简体" w:cs="方正小标宋简体" w:eastAsia="方正小标宋简体" w:hAnsi="方正小标宋简体" w:hint="eastAsia"/>
          <w:b/>
          <w:bCs/>
          <w:sz w:val="44"/>
          <w:szCs w:val="44"/>
          <w:lang w:eastAsia="zh-CN"/>
        </w:rPr>
        <w:t>木垒</w:t>
      </w:r>
      <w:r>
        <w:rPr>
          <w:rFonts w:ascii="方正小标宋简体" w:cs="方正小标宋简体" w:eastAsia="方正小标宋简体" w:hAnsi="方正小标宋简体" w:hint="eastAsia"/>
          <w:b/>
          <w:bCs/>
          <w:sz w:val="44"/>
          <w:szCs w:val="44"/>
        </w:rPr>
        <w:t>县20</w:t>
      </w:r>
      <w:r>
        <w:rPr>
          <w:rFonts w:ascii="方正小标宋简体" w:cs="方正小标宋简体" w:eastAsia="方正小标宋简体" w:hAnsi="方正小标宋简体" w:hint="eastAsia"/>
          <w:b/>
          <w:bCs/>
          <w:sz w:val="44"/>
          <w:szCs w:val="44"/>
          <w:lang w:val="en-US" w:eastAsia="zh-CN"/>
        </w:rPr>
        <w:t>24</w:t>
      </w:r>
      <w:r>
        <w:rPr>
          <w:rFonts w:ascii="方正小标宋简体" w:cs="方正小标宋简体" w:eastAsia="方正小标宋简体" w:hAnsi="方正小标宋简体" w:hint="eastAsia"/>
          <w:b/>
          <w:bCs/>
          <w:sz w:val="44"/>
          <w:szCs w:val="44"/>
        </w:rPr>
        <w:t>年1-</w:t>
      </w:r>
      <w:r>
        <w:rPr>
          <w:rFonts w:ascii="方正小标宋简体" w:cs="方正小标宋简体" w:eastAsia="方正小标宋简体" w:hAnsi="方正小标宋简体" w:hint="eastAsia"/>
          <w:b/>
          <w:bCs/>
          <w:sz w:val="44"/>
          <w:szCs w:val="44"/>
          <w:lang w:val="en-US" w:eastAsia="zh-CN"/>
        </w:rPr>
        <w:t>9</w:t>
      </w:r>
      <w:r>
        <w:rPr>
          <w:rFonts w:ascii="方正小标宋简体" w:cs="方正小标宋简体" w:eastAsia="方正小标宋简体" w:hAnsi="方正小标宋简体" w:hint="eastAsia"/>
          <w:b/>
          <w:bCs/>
          <w:sz w:val="44"/>
          <w:szCs w:val="44"/>
        </w:rPr>
        <w:t>月经济运行分析</w:t>
      </w:r>
    </w:p>
    <w:p>
      <w:pPr>
        <w:pStyle w:val="style2"/>
        <w:jc w:val="both"/>
        <w:rPr>
          <w:rFonts w:ascii="仿宋_GB2312" w:cs="仿宋_GB2312" w:eastAsia="仿宋_GB2312" w:hAnsi="仿宋_GB2312" w:hint="eastAsia"/>
          <w:i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楷体" w:cs="楷体" w:eastAsia="楷体" w:hAnsi="楷体"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ascii="仿宋_GB2312" w:cs="仿宋_GB2312" w:eastAsia="仿宋_GB2312" w:hAnsi="仿宋_GB2312" w:hint="eastAsia"/>
          <w:i w:val="false"/>
          <w:caps w:val="false"/>
          <w:color w:val="000000"/>
          <w:spacing w:val="0"/>
          <w:sz w:val="32"/>
          <w:szCs w:val="32"/>
          <w:shd w:val="clear" w:color="auto" w:fill="ffffff"/>
        </w:rPr>
        <w:t>　今年以来，在</w:t>
      </w:r>
      <w:r>
        <w:rPr>
          <w:rFonts w:ascii="仿宋_GB2312" w:cs="仿宋_GB2312" w:eastAsia="仿宋_GB2312" w:hAnsi="仿宋_GB2312" w:hint="eastAsia"/>
          <w:i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县委</w:t>
      </w:r>
      <w:r>
        <w:rPr>
          <w:rFonts w:ascii="仿宋_GB2312" w:cs="仿宋_GB2312" w:eastAsia="仿宋_GB2312" w:hAnsi="仿宋_GB2312" w:hint="eastAsia"/>
          <w:i w:val="false"/>
          <w:caps w:val="false"/>
          <w:color w:val="000000"/>
          <w:spacing w:val="0"/>
          <w:sz w:val="32"/>
          <w:szCs w:val="32"/>
          <w:shd w:val="clear" w:color="auto" w:fill="ffffff"/>
        </w:rPr>
        <w:t>政府的坚强领导下，全</w:t>
      </w:r>
      <w:r>
        <w:rPr>
          <w:rFonts w:ascii="仿宋_GB2312" w:cs="仿宋_GB2312" w:eastAsia="仿宋_GB2312" w:hAnsi="仿宋_GB2312" w:hint="eastAsia"/>
          <w:i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ascii="仿宋_GB2312" w:cs="仿宋_GB2312" w:eastAsia="仿宋_GB2312" w:hAnsi="仿宋_GB2312" w:hint="eastAsia"/>
          <w:i w:val="false"/>
          <w:caps w:val="false"/>
          <w:color w:val="000000"/>
          <w:spacing w:val="0"/>
          <w:sz w:val="32"/>
          <w:szCs w:val="32"/>
          <w:shd w:val="clear" w:color="auto" w:fill="ffffff"/>
        </w:rPr>
        <w:t>上下</w:t>
      </w:r>
      <w:r>
        <w:rPr>
          <w:rFonts w:ascii="仿宋_GB2312" w:cs="仿宋_GB2312" w:eastAsia="仿宋_GB2312" w:hAnsi="仿宋_GB2312" w:hint="eastAsia"/>
          <w:i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深入贯彻落实党的二十大和二十届二中、三中全会精神，贯彻近平总书记视察新疆时重要讲话重要指示精神，完整准确全面贯彻新时代党的治疆方略，完整准确全面贯彻新发展理念，全县</w:t>
      </w:r>
      <w:r>
        <w:rPr>
          <w:rFonts w:ascii="仿宋_GB2312" w:cs="仿宋_GB2312" w:eastAsia="仿宋_GB2312" w:hAnsi="仿宋_GB2312" w:hint="eastAsia"/>
          <w:i w:val="false"/>
          <w:caps w:val="false"/>
          <w:color w:val="000000"/>
          <w:spacing w:val="0"/>
          <w:sz w:val="32"/>
          <w:szCs w:val="32"/>
          <w:shd w:val="clear" w:color="auto" w:fill="ffffff"/>
        </w:rPr>
        <w:t>全力以赴拼经济、促发展，加快推动各项稳增长举措落地落实，突出做好强信心、稳预期、促生产、增活力等各项工作，全</w:t>
      </w:r>
      <w:r>
        <w:rPr>
          <w:rFonts w:ascii="仿宋_GB2312" w:cs="仿宋_GB2312" w:eastAsia="仿宋_GB2312" w:hAnsi="仿宋_GB2312" w:hint="eastAsia"/>
          <w:i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ascii="仿宋_GB2312" w:cs="仿宋_GB2312" w:eastAsia="仿宋_GB2312" w:hAnsi="仿宋_GB2312" w:hint="eastAsia"/>
          <w:i w:val="false"/>
          <w:caps w:val="false"/>
          <w:color w:val="000000"/>
          <w:spacing w:val="0"/>
          <w:sz w:val="32"/>
          <w:szCs w:val="32"/>
          <w:shd w:val="clear" w:color="auto" w:fill="ffffff"/>
        </w:rPr>
        <w:t>经济运行总体稳定，发展态势稳步回升。</w:t>
      </w:r>
    </w:p>
    <w:p>
      <w:pPr>
        <w:pStyle w:val="style0"/>
        <w:keepNext w:val="false"/>
        <w:keepLines w:val="false"/>
        <w:pageBreakBefore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71" w:firstLineChars="200"/>
        <w:jc w:val="both"/>
        <w:textAlignment w:val="auto"/>
        <w:rPr>
          <w:rFonts w:ascii="黑体" w:cs="黑体" w:eastAsia="黑体" w:hAnsi="黑体" w:hint="eastAsia"/>
          <w:b/>
          <w:bCs/>
          <w:i w:val="false"/>
          <w:caps w:val="false"/>
          <w:color w:val="auto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ascii="黑体" w:cs="黑体" w:eastAsia="黑体" w:hAnsi="黑体" w:hint="eastAsia"/>
          <w:b/>
          <w:bCs/>
          <w:i w:val="false"/>
          <w:caps w:val="false"/>
          <w:color w:val="auto"/>
          <w:spacing w:val="7"/>
          <w:sz w:val="32"/>
          <w:szCs w:val="32"/>
          <w:shd w:val="clear" w:color="auto" w:fill="ffffff"/>
          <w:lang w:val="en-US" w:eastAsia="zh-CN"/>
        </w:rPr>
        <w:t>经济运行情况</w:t>
      </w:r>
    </w:p>
    <w:p>
      <w:pPr>
        <w:pStyle w:val="style0"/>
        <w:numPr>
          <w:ilvl w:val="0"/>
          <w:numId w:val="0"/>
        </w:numPr>
        <w:spacing w:lineRule="exact" w:line="560"/>
        <w:ind w:firstLine="640" w:firstLineChars="200"/>
        <w:rPr>
          <w:rFonts w:ascii="仿宋" w:cs="仿宋" w:eastAsia="仿宋" w:hAnsi="仿宋" w:hint="eastAsia"/>
          <w:b w:val="false"/>
          <w:bCs w:val="false"/>
          <w:color w:val="auto"/>
          <w:kern w:val="2"/>
          <w:sz w:val="32"/>
          <w:szCs w:val="32"/>
          <w:lang w:val="en-US" w:bidi="ar-SA" w:eastAsia="zh-CN"/>
        </w:rPr>
      </w:pPr>
      <w:r>
        <w:rPr>
          <w:rFonts w:ascii="仿宋" w:cs="仿宋" w:eastAsia="仿宋" w:hAnsi="仿宋" w:hint="eastAsia"/>
          <w:b w:val="false"/>
          <w:bCs w:val="false"/>
          <w:color w:val="auto"/>
          <w:kern w:val="2"/>
          <w:sz w:val="32"/>
          <w:szCs w:val="32"/>
          <w:lang w:val="en-US" w:bidi="ar-SA" w:eastAsia="zh-CN"/>
        </w:rPr>
        <w:t>纵向看，多个主要经济指标高于全州平均水平。前三季度，全县地区生产总值增速8%，高于全州（7.8%）0.2个百分点； 全州排名第3；规上工业增加值增速38.7%，高于全州（14.2%）24.5个百分点，全州排名第1；固定资产投资增速61.8%，高于全州（13.2%）48.6个百分点，全州排名第1； 全社会消费品零售总额增速5.3%，高于全州（-1.7%）7个百分点，全州排名第1；一般公共预算收入增速25%，高于全州（10.1%）14.9个百分点，全州排名第2；</w:t>
      </w:r>
    </w:p>
    <w:p>
      <w:pPr>
        <w:pStyle w:val="style0"/>
        <w:numPr>
          <w:ilvl w:val="0"/>
          <w:numId w:val="1"/>
        </w:numPr>
        <w:spacing w:lineRule="exact" w:line="560"/>
        <w:ind w:left="0" w:leftChars="0" w:firstLine="643" w:firstLineChars="200"/>
        <w:rPr>
          <w:rFonts w:ascii="黑体" w:cs="黑体" w:eastAsia="黑体" w:hAnsi="黑体" w:hint="eastAsia"/>
          <w:b/>
          <w:bCs/>
          <w:color w:val="auto"/>
          <w:kern w:val="2"/>
          <w:sz w:val="32"/>
          <w:szCs w:val="32"/>
          <w:lang w:val="en-US" w:bidi="ar-SA" w:eastAsia="zh-CN"/>
        </w:rPr>
      </w:pPr>
      <w:r>
        <w:rPr>
          <w:rFonts w:ascii="黑体" w:cs="黑体" w:eastAsia="黑体" w:hAnsi="黑体" w:hint="eastAsia"/>
          <w:b/>
          <w:bCs/>
          <w:color w:val="auto"/>
          <w:kern w:val="2"/>
          <w:sz w:val="32"/>
          <w:szCs w:val="32"/>
          <w:lang w:val="en-US" w:bidi="ar-SA" w:eastAsia="zh-CN"/>
        </w:rPr>
        <w:t>经济运行特点</w:t>
      </w:r>
    </w:p>
    <w:p>
      <w:pPr>
        <w:pStyle w:val="style0"/>
        <w:numPr>
          <w:ilvl w:val="0"/>
          <w:numId w:val="2"/>
        </w:numPr>
        <w:spacing w:lineRule="exact" w:line="560"/>
        <w:ind w:leftChars="200"/>
        <w:rPr>
          <w:rFonts w:ascii="楷体" w:cs="楷体" w:eastAsia="楷体" w:hAnsi="楷体" w:hint="eastAsia"/>
          <w:b/>
          <w:bCs/>
          <w:color w:val="auto"/>
          <w:kern w:val="2"/>
          <w:sz w:val="32"/>
          <w:szCs w:val="32"/>
          <w:lang w:val="en-US" w:bidi="ar-SA" w:eastAsia="zh-CN"/>
        </w:rPr>
      </w:pPr>
      <w:r>
        <w:rPr>
          <w:rFonts w:ascii="楷体" w:cs="楷体" w:eastAsia="楷体" w:hAnsi="楷体" w:hint="eastAsia"/>
          <w:b/>
          <w:bCs/>
          <w:color w:val="auto"/>
          <w:kern w:val="2"/>
          <w:sz w:val="32"/>
          <w:szCs w:val="32"/>
          <w:lang w:val="en-US" w:bidi="ar-SA" w:eastAsia="zh-CN"/>
        </w:rPr>
        <w:t>地区生产总值增速保持平稳，二产贡献突出</w:t>
      </w:r>
    </w:p>
    <w:p>
      <w:pPr>
        <w:pStyle w:val="style0"/>
        <w:numPr>
          <w:ilvl w:val="0"/>
          <w:numId w:val="0"/>
        </w:numPr>
        <w:spacing w:lineRule="exact" w:line="560"/>
        <w:ind w:firstLine="640" w:firstLineChars="200"/>
        <w:rPr>
          <w:rFonts w:ascii="仿宋" w:cs="仿宋" w:eastAsia="仿宋" w:hAnsi="仿宋" w:hint="eastAsia"/>
          <w:i w:val="false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三</w:t>
      </w:r>
      <w:r>
        <w:rPr>
          <w:rFonts w:ascii="仿宋" w:cs="仿宋" w:eastAsia="仿宋" w:hAnsi="仿宋" w:hint="eastAsia"/>
          <w:sz w:val="32"/>
          <w:szCs w:val="32"/>
        </w:rPr>
        <w:t>季度全县地区生产总值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70.06</w:t>
      </w:r>
      <w:r>
        <w:rPr>
          <w:rFonts w:ascii="仿宋" w:cs="仿宋" w:eastAsia="仿宋" w:hAnsi="仿宋" w:hint="eastAsia"/>
          <w:sz w:val="32"/>
          <w:szCs w:val="32"/>
        </w:rPr>
        <w:t>亿元，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按可比价计算</w:t>
      </w:r>
      <w:r>
        <w:rPr>
          <w:rFonts w:ascii="仿宋" w:cs="仿宋" w:eastAsia="仿宋" w:hAnsi="仿宋" w:hint="eastAsia"/>
          <w:sz w:val="32"/>
          <w:szCs w:val="32"/>
        </w:rPr>
        <w:t>增速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8</w:t>
      </w:r>
      <w:r>
        <w:rPr>
          <w:rFonts w:ascii="仿宋" w:cs="仿宋" w:eastAsia="仿宋" w:hAnsi="仿宋" w:hint="eastAsia"/>
          <w:sz w:val="32"/>
          <w:szCs w:val="32"/>
        </w:rPr>
        <w:t>%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。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增速较1-2季度提高4个百分点，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val="en-US" w:eastAsia="zh-CN"/>
        </w:rPr>
        <w:t>高于全州0.2个百分点，居全州第三位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ascii="仿宋" w:cs="仿宋" w:eastAsia="仿宋" w:hAnsi="仿宋" w:hint="eastAsia"/>
          <w:sz w:val="32"/>
          <w:szCs w:val="32"/>
        </w:rPr>
        <w:t>其中：第一产业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实现增加值11.50亿元，</w:t>
      </w:r>
      <w:r>
        <w:rPr>
          <w:rFonts w:ascii="仿宋" w:cs="仿宋" w:eastAsia="仿宋" w:hAnsi="仿宋" w:hint="eastAsia"/>
          <w:sz w:val="32"/>
          <w:szCs w:val="32"/>
        </w:rPr>
        <w:t>增速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-0.8</w:t>
      </w:r>
      <w:r>
        <w:rPr>
          <w:rFonts w:ascii="仿宋" w:cs="仿宋" w:eastAsia="仿宋" w:hAnsi="仿宋" w:hint="eastAsia"/>
          <w:sz w:val="32"/>
          <w:szCs w:val="32"/>
        </w:rPr>
        <w:t>%，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增速居全州第6位；</w:t>
      </w:r>
      <w:r>
        <w:rPr>
          <w:rFonts w:ascii="仿宋" w:cs="仿宋" w:eastAsia="仿宋" w:hAnsi="仿宋" w:hint="eastAsia"/>
          <w:sz w:val="32"/>
          <w:szCs w:val="32"/>
        </w:rPr>
        <w:t>第二产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业实现增加值35.06亿元，</w:t>
      </w:r>
      <w:r>
        <w:rPr>
          <w:rFonts w:ascii="仿宋" w:cs="仿宋" w:eastAsia="仿宋" w:hAnsi="仿宋" w:hint="eastAsia"/>
          <w:sz w:val="32"/>
          <w:szCs w:val="32"/>
        </w:rPr>
        <w:t>增速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26.1</w:t>
      </w:r>
      <w:r>
        <w:rPr>
          <w:rFonts w:ascii="仿宋" w:cs="仿宋" w:eastAsia="仿宋" w:hAnsi="仿宋" w:hint="eastAsia"/>
          <w:sz w:val="32"/>
          <w:szCs w:val="32"/>
        </w:rPr>
        <w:t>%，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增速居全州第一位；</w:t>
      </w:r>
      <w:r>
        <w:rPr>
          <w:rFonts w:ascii="仿宋" w:cs="仿宋" w:eastAsia="仿宋" w:hAnsi="仿宋" w:hint="eastAsia"/>
          <w:sz w:val="32"/>
          <w:szCs w:val="32"/>
        </w:rPr>
        <w:t>第三产业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实现增加值23.5亿元，</w:t>
      </w:r>
      <w:r>
        <w:rPr>
          <w:rFonts w:ascii="仿宋" w:cs="仿宋" w:eastAsia="仿宋" w:hAnsi="仿宋" w:hint="eastAsia"/>
          <w:sz w:val="32"/>
          <w:szCs w:val="32"/>
        </w:rPr>
        <w:t>增速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3.4</w:t>
      </w:r>
      <w:r>
        <w:rPr>
          <w:rFonts w:ascii="仿宋" w:cs="仿宋" w:eastAsia="仿宋" w:hAnsi="仿宋" w:hint="eastAsia"/>
          <w:sz w:val="32"/>
          <w:szCs w:val="32"/>
        </w:rPr>
        <w:t>%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，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增速居全州第五位</w:t>
      </w:r>
      <w:r>
        <w:rPr>
          <w:rFonts w:ascii="仿宋" w:cs="仿宋" w:eastAsia="仿宋" w:hAnsi="仿宋" w:hint="eastAsia"/>
          <w:sz w:val="32"/>
          <w:szCs w:val="32"/>
        </w:rPr>
        <w:t>。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全县三次产业占比</w:t>
      </w:r>
      <w:r>
        <w:rPr>
          <w:rFonts w:ascii="仿宋" w:cs="仿宋" w:eastAsia="仿宋" w:hAnsi="仿宋" w:hint="eastAsia"/>
          <w:i w:val="false"/>
          <w:color w:val="000000"/>
          <w:kern w:val="0"/>
          <w:sz w:val="32"/>
          <w:szCs w:val="32"/>
          <w:u w:val="none"/>
          <w:lang w:val="en-US" w:eastAsia="zh-CN"/>
        </w:rPr>
        <w:t>16.4：50.1：33.5。贡献力分别为2.78%、90.43%和6.79%。分别拉动地区生产总值-0.02、23.60和0.23个百分点。</w:t>
      </w:r>
    </w:p>
    <w:p>
      <w:pPr>
        <w:pStyle w:val="style78"/>
        <w:rPr>
          <w:rFonts w:hint="eastAsia"/>
          <w:lang w:val="en-US" w:eastAsia="zh-CN"/>
        </w:rPr>
      </w:pPr>
      <w:r>
        <w:rPr/>
        <w:drawing>
          <wp:anchor distT="0" distB="0" distL="114300" distR="114300" simplePos="false" relativeHeight="5" behindDoc="false" locked="false" layoutInCell="true" allowOverlap="true">
            <wp:simplePos x="0" y="0"/>
            <wp:positionH relativeFrom="column">
              <wp:posOffset>262255</wp:posOffset>
            </wp:positionH>
            <wp:positionV relativeFrom="paragraph">
              <wp:posOffset>101600</wp:posOffset>
            </wp:positionV>
            <wp:extent cx="4751070" cy="2396490"/>
            <wp:effectExtent l="0" t="0" r="3810" b="11430"/>
            <wp:wrapSquare wrapText="bothSides"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51070" cy="239649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ind w:firstLine="420" w:firstLineChars="200"/>
        <w:jc w:val="both"/>
        <w:rPr>
          <w:rFonts w:ascii="仿宋" w:cs="仿宋" w:eastAsia="仿宋" w:hAnsi="仿宋" w:hint="eastAsia"/>
          <w:b/>
          <w:bCs/>
          <w:i w:val="false"/>
          <w:color w:val="000000"/>
          <w:kern w:val="0"/>
          <w:sz w:val="32"/>
          <w:szCs w:val="32"/>
          <w:u w:val="none"/>
          <w:lang w:val="en-US" w:eastAsia="zh-CN"/>
        </w:rPr>
      </w:pPr>
      <w:r>
        <w:rPr/>
        <w:drawing>
          <wp:inline distL="0" distT="0" distB="0" distR="0">
            <wp:extent cx="4584065" cy="2755265"/>
            <wp:effectExtent l="0" t="0" r="3175" b="3175"/>
            <wp:docPr id="1027" name="图片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84065" cy="275526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ind w:firstLine="643" w:firstLineChars="200"/>
        <w:jc w:val="both"/>
        <w:rPr>
          <w:rFonts w:ascii="仿宋" w:cs="仿宋" w:eastAsia="仿宋" w:hAnsi="仿宋" w:hint="eastAsia"/>
          <w:i w:val="false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ascii="仿宋" w:cs="仿宋" w:eastAsia="仿宋" w:hAnsi="仿宋" w:hint="eastAsia"/>
          <w:b/>
          <w:bCs/>
          <w:i w:val="false"/>
          <w:color w:val="000000"/>
          <w:kern w:val="0"/>
          <w:sz w:val="32"/>
          <w:szCs w:val="32"/>
          <w:u w:val="none"/>
          <w:lang w:val="en-US" w:eastAsia="zh-CN"/>
        </w:rPr>
        <w:t>主要行业呈现“八升一降”。</w:t>
      </w:r>
      <w:r>
        <w:rPr>
          <w:rFonts w:ascii="仿宋" w:cs="仿宋" w:eastAsia="仿宋" w:hAnsi="仿宋" w:hint="eastAsia"/>
          <w:i w:val="false"/>
          <w:color w:val="000000"/>
          <w:kern w:val="0"/>
          <w:sz w:val="32"/>
          <w:szCs w:val="32"/>
          <w:u w:val="none"/>
          <w:lang w:val="en-US" w:eastAsia="zh-CN"/>
        </w:rPr>
        <w:t>农林牧渔业实现增加值12.66亿元，增长0.2%；工业实现增加值24.12亿元，增长34.3%；建筑业实现增加值10.93亿元，增长19.7%；批发零售业实现增加值2.63亿元，增长3.8%；交通运输、仓储和邮政业实现增加值1.41亿元，增长5.4%；住宿餐饮业实现增加值0.27亿元，增长4%；金融业实现增加值2.25亿元，增长2.7%；房地产业实现增加值1.53亿元，下降2.6%；其他服务业实现增加值14.25亿元，增长2.4%；</w:t>
      </w:r>
    </w:p>
    <w:tbl>
      <w:tblPr>
        <w:tblStyle w:val="style105"/>
        <w:tblW w:w="762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9"/>
        <w:gridCol w:w="816"/>
        <w:gridCol w:w="2315"/>
      </w:tblGrid>
      <w:tr>
        <w:trPr>
          <w:trHeight w:val="495" w:hRule="atLeast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木垒县第三季度地区生产总值行业完成情况</w:t>
            </w:r>
          </w:p>
        </w:tc>
      </w:tr>
      <w:tr>
        <w:tblPrEx/>
        <w:trPr>
          <w:trHeight w:val="375" w:hRule="atLeast"/>
        </w:trPr>
        <w:tc>
          <w:tcPr>
            <w:tcW w:w="44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现价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增长速度%</w:t>
            </w:r>
          </w:p>
        </w:tc>
      </w:tr>
      <w:tr>
        <w:tblPrEx/>
        <w:trPr>
          <w:trHeight w:val="510" w:hRule="atLeast"/>
        </w:trPr>
        <w:tc>
          <w:tcPr>
            <w:tcW w:w="4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地区生产总值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700632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8.0</w:t>
            </w:r>
          </w:p>
        </w:tc>
      </w:tr>
      <w:tr>
        <w:tblPrEx/>
        <w:trPr>
          <w:trHeight w:val="510" w:hRule="atLeast"/>
        </w:trPr>
        <w:tc>
          <w:tcPr>
            <w:tcW w:w="4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农林牧渔业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126625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0.2</w:t>
            </w:r>
          </w:p>
        </w:tc>
      </w:tr>
      <w:tr>
        <w:tblPrEx/>
        <w:trPr>
          <w:trHeight w:val="510" w:hRule="atLeast"/>
        </w:trPr>
        <w:tc>
          <w:tcPr>
            <w:tcW w:w="4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农林牧渔服务业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11585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12.5</w:t>
            </w:r>
          </w:p>
        </w:tc>
      </w:tr>
      <w:tr>
        <w:tblPrEx/>
        <w:trPr>
          <w:trHeight w:val="510" w:hRule="atLeast"/>
        </w:trPr>
        <w:tc>
          <w:tcPr>
            <w:tcW w:w="4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工业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241244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34.3</w:t>
            </w:r>
          </w:p>
        </w:tc>
      </w:tr>
      <w:tr>
        <w:tblPrEx/>
        <w:trPr>
          <w:trHeight w:val="510" w:hRule="atLeast"/>
        </w:trPr>
        <w:tc>
          <w:tcPr>
            <w:tcW w:w="4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采矿业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17148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36.4</w:t>
            </w:r>
          </w:p>
        </w:tc>
      </w:tr>
      <w:tr>
        <w:tblPrEx/>
        <w:trPr>
          <w:trHeight w:val="510" w:hRule="atLeast"/>
        </w:trPr>
        <w:tc>
          <w:tcPr>
            <w:tcW w:w="4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制造业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50080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35.8</w:t>
            </w:r>
          </w:p>
        </w:tc>
      </w:tr>
      <w:tr>
        <w:tblPrEx/>
        <w:trPr>
          <w:trHeight w:val="510" w:hRule="atLeast"/>
        </w:trPr>
        <w:tc>
          <w:tcPr>
            <w:tcW w:w="4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电力、燃气及水的生产和供应业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174016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33.5</w:t>
            </w:r>
          </w:p>
        </w:tc>
      </w:tr>
      <w:tr>
        <w:tblPrEx/>
        <w:trPr>
          <w:trHeight w:val="510" w:hRule="atLeast"/>
        </w:trPr>
        <w:tc>
          <w:tcPr>
            <w:tcW w:w="4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建筑业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109343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19.7</w:t>
            </w:r>
          </w:p>
        </w:tc>
      </w:tr>
      <w:tr>
        <w:tblPrEx/>
        <w:trPr>
          <w:trHeight w:val="510" w:hRule="atLeast"/>
        </w:trPr>
        <w:tc>
          <w:tcPr>
            <w:tcW w:w="4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批发和零售业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26349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3.8</w:t>
            </w:r>
          </w:p>
        </w:tc>
      </w:tr>
      <w:tr>
        <w:tblPrEx/>
        <w:trPr>
          <w:trHeight w:val="510" w:hRule="atLeast"/>
        </w:trPr>
        <w:tc>
          <w:tcPr>
            <w:tcW w:w="4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交通运输、仓储和邮政业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14093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5.4</w:t>
            </w:r>
          </w:p>
        </w:tc>
      </w:tr>
      <w:tr>
        <w:tblPrEx/>
        <w:trPr>
          <w:trHeight w:val="510" w:hRule="atLeast"/>
        </w:trPr>
        <w:tc>
          <w:tcPr>
            <w:tcW w:w="4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住宿和餐饮业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2657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4.0</w:t>
            </w:r>
          </w:p>
        </w:tc>
      </w:tr>
      <w:tr>
        <w:tblPrEx/>
        <w:trPr>
          <w:trHeight w:val="510" w:hRule="atLeast"/>
        </w:trPr>
        <w:tc>
          <w:tcPr>
            <w:tcW w:w="4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金融业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22472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2.7</w:t>
            </w:r>
          </w:p>
        </w:tc>
      </w:tr>
      <w:tr>
        <w:tblPrEx/>
        <w:trPr>
          <w:trHeight w:val="540" w:hRule="atLeast"/>
        </w:trPr>
        <w:tc>
          <w:tcPr>
            <w:tcW w:w="4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房地产业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15341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2.6</w:t>
            </w:r>
          </w:p>
        </w:tc>
      </w:tr>
      <w:tr>
        <w:tblPrEx/>
        <w:trPr>
          <w:trHeight w:val="510" w:hRule="atLeast"/>
        </w:trPr>
        <w:tc>
          <w:tcPr>
            <w:tcW w:w="4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其他服务业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142509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2.4</w:t>
            </w:r>
          </w:p>
        </w:tc>
      </w:tr>
      <w:tr>
        <w:tblPrEx/>
        <w:trPr>
          <w:trHeight w:val="510" w:hRule="atLeast"/>
        </w:trPr>
        <w:tc>
          <w:tcPr>
            <w:tcW w:w="4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第一产业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115039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-0.8</w:t>
            </w:r>
          </w:p>
        </w:tc>
      </w:tr>
      <w:tr>
        <w:tblPrEx/>
        <w:trPr>
          <w:trHeight w:val="510" w:hRule="atLeast"/>
        </w:trPr>
        <w:tc>
          <w:tcPr>
            <w:tcW w:w="4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第二产业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350587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26.1</w:t>
            </w:r>
          </w:p>
        </w:tc>
      </w:tr>
      <w:tr>
        <w:tblPrEx/>
        <w:trPr>
          <w:trHeight w:val="435" w:hRule="atLeast"/>
        </w:trPr>
        <w:tc>
          <w:tcPr>
            <w:tcW w:w="4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第三产业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235006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bottom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</w:t>
            </w:r>
          </w:p>
        </w:tc>
      </w:tr>
    </w:tbl>
    <w:p>
      <w:pPr>
        <w:pStyle w:val="style2"/>
        <w:numPr>
          <w:ilvl w:val="0"/>
          <w:numId w:val="0"/>
        </w:numPr>
        <w:ind w:firstLine="643" w:firstLineChars="200"/>
        <w:jc w:val="both"/>
        <w:rPr>
          <w:rFonts w:ascii="楷体_GB2312" w:cs="楷体_GB2312" w:eastAsia="楷体_GB2312" w:hAnsi="楷体_GB2312" w:hint="eastAsia"/>
          <w:b/>
          <w:bCs/>
          <w:color w:val="auto"/>
          <w:kern w:val="2"/>
          <w:sz w:val="32"/>
          <w:szCs w:val="32"/>
          <w:lang w:val="en-US" w:bidi="ar-SA" w:eastAsia="zh-CN"/>
        </w:rPr>
      </w:pPr>
      <w:r>
        <w:rPr>
          <w:rFonts w:ascii="楷体_GB2312" w:cs="楷体_GB2312" w:eastAsia="楷体_GB2312" w:hAnsi="楷体_GB2312" w:hint="eastAsia"/>
          <w:b/>
          <w:bCs/>
          <w:color w:val="auto"/>
          <w:kern w:val="2"/>
          <w:sz w:val="32"/>
          <w:szCs w:val="32"/>
          <w:lang w:val="en-US" w:bidi="ar-SA" w:eastAsia="zh-CN"/>
        </w:rPr>
        <w:t>(二）工业生产稳步增长，</w:t>
      </w:r>
      <w:r>
        <w:rPr>
          <w:rFonts w:ascii="楷体" w:cs="楷体" w:eastAsia="楷体" w:hAnsi="楷体" w:hint="eastAsia"/>
          <w:b/>
          <w:bCs w:val="false"/>
          <w:color w:val="auto"/>
          <w:kern w:val="0"/>
          <w:sz w:val="32"/>
          <w:szCs w:val="32"/>
          <w:highlight w:val="none"/>
          <w:lang w:val="en-US" w:eastAsia="zh-CN"/>
        </w:rPr>
        <w:t>电力、热力生产和供应业</w:t>
      </w:r>
      <w:r>
        <w:rPr>
          <w:rFonts w:ascii="楷体" w:cs="楷体" w:eastAsia="楷体" w:hAnsi="楷体" w:hint="eastAsia"/>
          <w:b/>
          <w:bCs w:val="false"/>
          <w:i w:val="false"/>
          <w:iCs w:val="false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支</w:t>
      </w:r>
      <w:r>
        <w:rPr>
          <w:rFonts w:ascii="楷体_GB2312" w:cs="楷体_GB2312" w:eastAsia="楷体_GB2312" w:hAnsi="楷体_GB2312" w:hint="eastAsia"/>
          <w:b/>
          <w:bCs/>
          <w:i w:val="false"/>
          <w:iCs w:val="false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撑有力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val="en-US" w:eastAsia="zh-CN"/>
        </w:rPr>
        <w:t>1-9月，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</w:rPr>
        <w:t>全县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val="en-US" w:eastAsia="zh-CN"/>
        </w:rPr>
        <w:t>46家规模以上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</w:rPr>
        <w:t>工业企业累计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val="en-US" w:eastAsia="zh-CN"/>
        </w:rPr>
        <w:t>完成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</w:rPr>
        <w:t>工业总产值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val="en-US" w:eastAsia="zh-CN"/>
        </w:rPr>
        <w:t>54.18亿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val="zh-CN" w:eastAsia="zh-CN"/>
        </w:rPr>
        <w:t>元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</w:rPr>
        <w:t>，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val="en-US" w:eastAsia="zh-CN"/>
        </w:rPr>
        <w:t>同比增长53.1%；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</w:rPr>
        <w:t>实现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val="en-US" w:eastAsia="zh-CN"/>
        </w:rPr>
        <w:t>工业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</w:rPr>
        <w:t>增加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eastAsia="zh-CN"/>
        </w:rPr>
        <w:t>值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val="en-US" w:eastAsia="zh-CN"/>
        </w:rPr>
        <w:t>23.02亿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eastAsia="zh-CN"/>
        </w:rPr>
        <w:t>元，同比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val="en-US" w:eastAsia="zh-CN"/>
        </w:rPr>
        <w:t>增长38.7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eastAsia="zh-CN"/>
        </w:rPr>
        <w:t>%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val="en-US" w:eastAsia="zh-CN"/>
        </w:rPr>
        <w:t>,增速比1-8月份提高8.2个百分点，比上年同期提高31.7个百分点，高于全州24.5个百分点，居全州第一位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val="en-US" w:eastAsia="zh-CN"/>
        </w:rPr>
        <w:t>其中：9月份，当月完成工业总产值13.32亿元，同比增长134.7%；实现工业增加值3.92亿元，同比增长101.4%，增速比8月份提高86.1个百分点。</w:t>
      </w:r>
    </w:p>
    <w:p>
      <w:pPr>
        <w:pStyle w:val="style66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  <w:r>
        <w:rPr>
          <w:color w:val="auto"/>
        </w:rPr>
        <w:drawing>
          <wp:inline distL="114300" distT="0" distB="0" distR="114300">
            <wp:extent cx="4665345" cy="2302510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color w:val="auto"/>
        </w:rPr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3" w:firstLineChars="200"/>
        <w:textAlignment w:val="auto"/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" w:cs="仿宋" w:eastAsia="仿宋" w:hAnsi="仿宋" w:hint="eastAsia"/>
          <w:b/>
          <w:bCs w:val="false"/>
          <w:color w:val="auto"/>
          <w:kern w:val="0"/>
          <w:sz w:val="32"/>
          <w:szCs w:val="32"/>
          <w:highlight w:val="none"/>
          <w:lang w:val="en-US" w:eastAsia="zh-CN"/>
        </w:rPr>
        <w:t>四大行业均保持增长。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val="en-US" w:eastAsia="zh-CN"/>
        </w:rPr>
        <w:t>从三大门类看，木垒县规上工业不涉及采矿业，1-9月，制造业、电力、热力、燃气及水生产和供应业增加值同比分别增长90.9%、25.1%，分别拉动规模以上工业增加值增长18.8、19.9个百分点。其中：9月份，同比分别增长201.1%、44.9%。4个工业行业大类实现全部增长，电力、热力生产和供应业、农副食品加工业、非金属矿物制品业、电气机械和器材制造业增加值同比分别增长25.1%、18%、97.3%、92.5%，分别拉动规模以上工业增加值19.9、0.1、0.1、18.6个百分点。其中：9月份，同比分别增长44.9%、-7.2%、87.6%、206.7%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3" w:firstLineChars="200"/>
        <w:textAlignment w:val="auto"/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" w:cs="仿宋" w:eastAsia="仿宋" w:hAnsi="仿宋" w:hint="eastAsia"/>
          <w:b/>
          <w:bCs w:val="false"/>
          <w:color w:val="auto"/>
          <w:kern w:val="0"/>
          <w:sz w:val="32"/>
          <w:szCs w:val="32"/>
          <w:highlight w:val="none"/>
          <w:lang w:val="en-US" w:eastAsia="zh-CN"/>
        </w:rPr>
        <w:t>重点行业带动明显。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val="en-US" w:eastAsia="zh-CN"/>
        </w:rPr>
        <w:t>电力、热力生产和供应业1-9月累计完成工业总产值20.89亿元，同比增加25.4%；实现工业增加值16.80亿元，同比增加25.1%，增速比8月份扩大1.6个百分点，对规上工业的贡献率达51.4%，拉动规上工业增长19.9个百分点。电气机械和器材制造业累计完成工业总产值32.70亿元，同比增长78.7%，实现工业增加值6.09亿元，同比增长92.5%，增速比8月份扩大30.9个百分点，拉动规上工业增加值18.6个百分点，贡献率为48.1%。这两个行业的增加值合计占规上工业增加值的99.4%，拉动规模以上工业增加值38.5个百分点。</w:t>
      </w:r>
    </w:p>
    <w:p>
      <w:pPr>
        <w:pStyle w:val="style66"/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style77"/>
        <w:rPr>
          <w:rFonts w:hint="eastAsia"/>
          <w:lang w:val="en-US" w:eastAsia="zh-CN"/>
        </w:rPr>
      </w:pPr>
    </w:p>
    <w:tbl>
      <w:tblPr>
        <w:tblStyle w:val="style154"/>
        <w:tblW w:w="9220" w:type="dxa"/>
        <w:jc w:val="center"/>
        <w:tblInd w:w="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1187"/>
        <w:gridCol w:w="1218"/>
        <w:gridCol w:w="1052"/>
        <w:gridCol w:w="1117"/>
        <w:gridCol w:w="1051"/>
        <w:gridCol w:w="1116"/>
      </w:tblGrid>
      <w:tr>
        <w:trPr>
          <w:trHeight w:val="340" w:hRule="atLeast"/>
          <w:jc w:val="center"/>
        </w:trPr>
        <w:tc>
          <w:tcPr>
            <w:tcW w:w="9220" w:type="dxa"/>
            <w:gridSpan w:val="7"/>
            <w:tcBorders/>
            <w:vAlign w:val="center"/>
          </w:tcPr>
          <w:p>
            <w:pPr>
              <w:pStyle w:val="style66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  <w:t>1-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本</w:t>
            </w: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  <w:t>月主要行业增加值增速、占比、拉动情况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479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行业名称</w:t>
            </w:r>
          </w:p>
        </w:tc>
        <w:tc>
          <w:tcPr>
            <w:tcW w:w="4574" w:type="dxa"/>
            <w:gridSpan w:val="4"/>
            <w:tcBorders/>
            <w:vAlign w:val="center"/>
          </w:tcPr>
          <w:p>
            <w:pPr>
              <w:pStyle w:val="style66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1-本月</w:t>
            </w:r>
          </w:p>
        </w:tc>
        <w:tc>
          <w:tcPr>
            <w:tcW w:w="2167" w:type="dxa"/>
            <w:gridSpan w:val="2"/>
            <w:tcBorders/>
            <w:vAlign w:val="center"/>
          </w:tcPr>
          <w:p>
            <w:pPr>
              <w:pStyle w:val="style66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1-上月</w:t>
            </w:r>
          </w:p>
        </w:tc>
      </w:tr>
      <w:tr>
        <w:tblPrEx/>
        <w:trPr>
          <w:trHeight w:val="614" w:hRule="atLeast"/>
          <w:jc w:val="center"/>
        </w:trPr>
        <w:tc>
          <w:tcPr>
            <w:tcW w:w="2479" w:type="dxa"/>
            <w:vMerge w:val="continue"/>
            <w:tcBorders/>
            <w:vAlign w:val="center"/>
          </w:tcPr>
          <w:p>
            <w:pPr>
              <w:pStyle w:val="style66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增加值占比（%）</w:t>
            </w:r>
          </w:p>
        </w:tc>
        <w:tc>
          <w:tcPr>
            <w:tcW w:w="121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贡献率（%）</w:t>
            </w:r>
          </w:p>
        </w:tc>
        <w:tc>
          <w:tcPr>
            <w:tcW w:w="105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增速（%）</w:t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拉动百分点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增速（%）</w:t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拉动百分点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47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电力、热力生产和供应业</w:t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73.0 </w:t>
            </w:r>
          </w:p>
        </w:tc>
        <w:tc>
          <w:tcPr>
            <w:tcW w:w="121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51.4 </w:t>
            </w:r>
          </w:p>
        </w:tc>
        <w:tc>
          <w:tcPr>
            <w:tcW w:w="105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25.1 </w:t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19.9 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23.5 </w:t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19.1 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47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农副食品加工业</w:t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0.4 </w:t>
            </w:r>
          </w:p>
        </w:tc>
        <w:tc>
          <w:tcPr>
            <w:tcW w:w="121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0.2 </w:t>
            </w:r>
          </w:p>
        </w:tc>
        <w:tc>
          <w:tcPr>
            <w:tcW w:w="105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18.0 </w:t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0.1 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25.7 </w:t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0.1 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47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非金属矿物制品业</w:t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0.2 </w:t>
            </w:r>
          </w:p>
        </w:tc>
        <w:tc>
          <w:tcPr>
            <w:tcW w:w="121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0.3 </w:t>
            </w:r>
          </w:p>
        </w:tc>
        <w:tc>
          <w:tcPr>
            <w:tcW w:w="105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97.3 </w:t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0.1 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102.2 </w:t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0.1 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47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电气机械和器材制造业</w:t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26.5 </w:t>
            </w:r>
          </w:p>
        </w:tc>
        <w:tc>
          <w:tcPr>
            <w:tcW w:w="121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48.1 </w:t>
            </w:r>
          </w:p>
        </w:tc>
        <w:tc>
          <w:tcPr>
            <w:tcW w:w="105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92.5 </w:t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18.6 </w:t>
            </w:r>
          </w:p>
        </w:tc>
        <w:tc>
          <w:tcPr>
            <w:tcW w:w="10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61.6 </w:t>
            </w:r>
          </w:p>
        </w:tc>
        <w:tc>
          <w:tcPr>
            <w:tcW w:w="111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11.2 </w:t>
            </w: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3" w:firstLineChars="200"/>
        <w:textAlignment w:val="auto"/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" w:cs="仿宋" w:eastAsia="仿宋" w:hAnsi="仿宋" w:hint="eastAsia"/>
          <w:b/>
          <w:bCs w:val="false"/>
          <w:color w:val="auto"/>
          <w:kern w:val="0"/>
          <w:sz w:val="32"/>
          <w:szCs w:val="32"/>
          <w:highlight w:val="none"/>
          <w:lang w:val="en-US" w:eastAsia="zh-CN"/>
        </w:rPr>
        <w:t>产品产量实现全增长。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val="en-US" w:eastAsia="zh-CN"/>
        </w:rPr>
        <w:t>1-9月全县重点监测的五种主要工业产品产量实现全部增长，其中，发电量101.43亿千瓦时，同比增长28.5%，其中，风力发电81.82亿千瓦时，同比增长27.7%，太阳能发电19.60亿千瓦时，同比增长31.4%；商品混凝土产量3.41万立方米，同比增长97.0%；鲜、冷藏肉产量206吨，同比增长25.7%；发电机组发电设备产量23.56万千瓦时，同比净增；太阳能电池产量2.45万千瓦时，同比净增。</w:t>
      </w:r>
    </w:p>
    <w:tbl>
      <w:tblPr>
        <w:tblStyle w:val="style105"/>
        <w:tblW w:w="9328" w:type="dxa"/>
        <w:jc w:val="center"/>
        <w:tblInd w:w="0" w:type="dxa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7"/>
        <w:gridCol w:w="1244"/>
        <w:gridCol w:w="1156"/>
        <w:gridCol w:w="1121"/>
        <w:gridCol w:w="1253"/>
        <w:gridCol w:w="1165"/>
        <w:gridCol w:w="979"/>
        <w:gridCol w:w="1033"/>
      </w:tblGrid>
      <w:tr>
        <w:trPr>
          <w:trHeight w:val="286" w:hRule="atLeast"/>
          <w:jc w:val="center"/>
        </w:trPr>
        <w:tc>
          <w:tcPr>
            <w:tcW w:w="932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主要工业产品产量</w:t>
            </w:r>
          </w:p>
        </w:tc>
      </w:tr>
      <w:tr>
        <w:tblPrEx/>
        <w:trPr>
          <w:trHeight w:val="286" w:hRule="atLeast"/>
          <w:jc w:val="center"/>
        </w:trPr>
        <w:tc>
          <w:tcPr>
            <w:tcW w:w="13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产品名称</w:t>
            </w:r>
          </w:p>
        </w:tc>
        <w:tc>
          <w:tcPr>
            <w:tcW w:w="12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计量单位</w:t>
            </w:r>
          </w:p>
        </w:tc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本年</w:t>
            </w:r>
          </w:p>
        </w:tc>
        <w:tc>
          <w:tcPr>
            <w:tcW w:w="2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去年实际</w:t>
            </w:r>
          </w:p>
        </w:tc>
        <w:tc>
          <w:tcPr>
            <w:tcW w:w="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同比当月增长%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同比累计增长%</w:t>
            </w:r>
          </w:p>
        </w:tc>
      </w:tr>
      <w:tr>
        <w:tblPrEx/>
        <w:trPr>
          <w:trHeight w:val="540" w:hRule="atLeast"/>
          <w:jc w:val="center"/>
        </w:trPr>
        <w:tc>
          <w:tcPr>
            <w:tcW w:w="13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本月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本月止累计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去年同月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去年同月止累计</w:t>
            </w:r>
          </w:p>
        </w:tc>
        <w:tc>
          <w:tcPr>
            <w:tcW w:w="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/>
        <w:trPr>
          <w:trHeight w:val="286" w:hRule="atLeast"/>
          <w:jc w:val="center"/>
        </w:trPr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发电量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万千瓦小时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111880.05 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1014278.87 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79123.15 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790231.66 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41.40 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28.35 </w:t>
            </w:r>
          </w:p>
        </w:tc>
      </w:tr>
      <w:tr>
        <w:tblPrEx/>
        <w:trPr>
          <w:trHeight w:val="286" w:hRule="atLeast"/>
          <w:jc w:val="center"/>
        </w:trPr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风力发电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万千瓦小时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88942.20 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818247.49 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61840.13 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641019.36 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43.83 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27.65 </w:t>
            </w:r>
          </w:p>
        </w:tc>
      </w:tr>
      <w:tr>
        <w:tblPrEx/>
        <w:trPr>
          <w:trHeight w:val="286" w:hRule="atLeast"/>
          <w:jc w:val="center"/>
        </w:trPr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太阳能发电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万千瓦小时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22937.85 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196031.38 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17283.02 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149212.30 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32.72 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31.38 </w:t>
            </w:r>
          </w:p>
        </w:tc>
      </w:tr>
      <w:tr>
        <w:tblPrEx/>
        <w:trPr>
          <w:trHeight w:val="286" w:hRule="atLeast"/>
          <w:jc w:val="center"/>
        </w:trPr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商品混凝土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立方米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7205.50 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34140.00 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5204.74 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17331.27 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38.44 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96.98 </w:t>
            </w:r>
          </w:p>
        </w:tc>
      </w:tr>
      <w:tr>
        <w:tblPrEx/>
        <w:trPr>
          <w:trHeight w:val="286" w:hRule="atLeast"/>
          <w:jc w:val="center"/>
        </w:trPr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鲜、冷藏肉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吨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37.10 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206.10 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37.00 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164.00 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0.27 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25.67 </w:t>
            </w:r>
          </w:p>
        </w:tc>
      </w:tr>
      <w:tr>
        <w:tblPrEx/>
        <w:trPr>
          <w:trHeight w:val="286" w:hRule="atLeast"/>
          <w:jc w:val="center"/>
        </w:trPr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发电机组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千瓦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110670.00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235550.00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0.00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0.00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/>
        <w:trPr>
          <w:trHeight w:val="286" w:hRule="atLeast"/>
          <w:jc w:val="center"/>
        </w:trPr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太阳能电池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千瓦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376.2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24545.95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0.00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0.00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</w:tbl>
    <w:p>
      <w:pPr>
        <w:pStyle w:val="style0"/>
        <w:numPr>
          <w:ilvl w:val="0"/>
          <w:numId w:val="0"/>
        </w:numPr>
        <w:spacing w:lineRule="exact" w:line="560"/>
        <w:ind w:leftChars="200"/>
        <w:rPr>
          <w:rFonts w:ascii="楷体" w:cs="楷体" w:eastAsia="楷体" w:hAnsi="楷体" w:hint="eastAsia"/>
          <w:b/>
          <w:bCs/>
          <w:color w:val="auto"/>
          <w:kern w:val="2"/>
          <w:sz w:val="32"/>
          <w:szCs w:val="32"/>
          <w:lang w:val="en-US" w:bidi="ar-SA" w:eastAsia="zh-CN"/>
        </w:rPr>
      </w:pPr>
      <w:r>
        <w:rPr>
          <w:rFonts w:ascii="楷体" w:cs="楷体" w:eastAsia="楷体" w:hAnsi="楷体" w:hint="eastAsia"/>
          <w:b/>
          <w:bCs/>
          <w:color w:val="auto"/>
          <w:kern w:val="2"/>
          <w:sz w:val="32"/>
          <w:szCs w:val="32"/>
          <w:lang w:val="en-US" w:bidi="ar-SA" w:eastAsia="zh-CN"/>
        </w:rPr>
        <w:t>（三）全社会固定资产投资规模扩大，工业投资增势良好</w:t>
      </w:r>
    </w:p>
    <w:p>
      <w:pPr>
        <w:pStyle w:val="style0"/>
        <w:numPr>
          <w:ilvl w:val="0"/>
          <w:numId w:val="0"/>
        </w:numPr>
        <w:spacing w:lineRule="exact" w:line="560"/>
        <w:ind w:firstLine="640" w:firstLineChars="200"/>
        <w:rPr>
          <w:rFonts w:ascii="仿宋" w:cs="仿宋" w:eastAsia="仿宋" w:hAnsi="仿宋" w:hint="eastAsia"/>
          <w:b w:val="false"/>
          <w:i w:val="false"/>
          <w:snapToGrid/>
          <w:color w:val="333333"/>
          <w:spacing w:val="0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 w:val="false"/>
          <w:bCs w:val="false"/>
          <w:i w:val="false"/>
          <w:snapToGrid/>
          <w:color w:val="333333"/>
          <w:spacing w:val="0"/>
          <w:sz w:val="32"/>
          <w:szCs w:val="32"/>
          <w:lang w:val="en-US" w:eastAsia="zh-CN"/>
        </w:rPr>
        <w:t>1-9月木垒县完成固定资产投资64.6703亿元，同比增长61.8%，比上年同期增长58.5个百分点，比上半年加快11.1个百分点。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val="en-US" w:eastAsia="zh-CN"/>
        </w:rPr>
        <w:t>高于全州48.6个百分点，居全州第一位</w:t>
      </w:r>
      <w:r>
        <w:rPr>
          <w:rFonts w:ascii="仿宋" w:cs="仿宋" w:eastAsia="仿宋" w:hAnsi="仿宋" w:hint="eastAsia"/>
          <w:b w:val="false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ascii="仿宋" w:cs="仿宋" w:eastAsia="仿宋" w:hAnsi="仿宋" w:hint="eastAsia"/>
          <w:b w:val="false"/>
          <w:i w:val="false"/>
          <w:snapToGrid/>
          <w:color w:val="333333"/>
          <w:spacing w:val="0"/>
          <w:sz w:val="32"/>
          <w:szCs w:val="32"/>
          <w:lang w:val="en-US" w:eastAsia="zh-CN"/>
        </w:rPr>
        <w:t xml:space="preserve">其中，9月份，完成投资额9.6977亿元，比上半年（28.8518亿元）增加35.8185亿元，第三季度月均增加11.9395亿元，较第二季度（8.3407亿元）月均增加3.5988亿元。 </w:t>
      </w:r>
    </w:p>
    <w:p>
      <w:pPr>
        <w:pStyle w:val="style0"/>
        <w:numPr>
          <w:ilvl w:val="0"/>
          <w:numId w:val="0"/>
        </w:numPr>
        <w:spacing w:lineRule="exact" w:line="560"/>
        <w:ind w:firstLine="643" w:firstLineChars="200"/>
        <w:rPr>
          <w:rFonts w:ascii="仿宋" w:cs="仿宋" w:eastAsia="仿宋" w:hAnsi="仿宋" w:hint="eastAsia"/>
          <w:b w:val="false"/>
          <w:i w:val="false"/>
          <w:snapToGrid/>
          <w:color w:val="333333"/>
          <w:spacing w:val="0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/>
          <w:bCs/>
          <w:i w:val="false"/>
          <w:snapToGrid/>
          <w:color w:val="333333"/>
          <w:spacing w:val="0"/>
          <w:sz w:val="32"/>
          <w:szCs w:val="32"/>
          <w:lang w:val="en-US" w:eastAsia="zh-CN"/>
        </w:rPr>
        <w:t>从三次产业看</w:t>
      </w:r>
      <w:r>
        <w:rPr>
          <w:rFonts w:ascii="仿宋" w:cs="仿宋" w:eastAsia="仿宋" w:hAnsi="仿宋" w:hint="eastAsia"/>
          <w:b w:val="false"/>
          <w:i w:val="false"/>
          <w:snapToGrid/>
          <w:color w:val="333333"/>
          <w:spacing w:val="0"/>
          <w:sz w:val="32"/>
          <w:szCs w:val="32"/>
          <w:lang w:val="en-US" w:eastAsia="zh-CN"/>
        </w:rPr>
        <w:t>，第一产业完成投资0.8882亿元，同比增长233%，增速比去年同期、上半年分别加快260.7个百分点和233个百分点，拉动全县固定资产投资增长1.6个百分点；第二产业完成投资62.4169亿元，同比增长96.1%，增速比去年同期加快98.2个百分点、比上半年增长20.4个百分点，拉动全县投资增长76.5个百分点；第三产业完成投资1.3652亿元，同比下降82.7%,降幅比去年同期扩大118.2个百分点、比上半年收窄9.3个百分点，下拉全县投资增长16.3个百分点。三次产业投资占全部固定资产投资比重由上年同期的0.7:79.6:19.7转变为1.4:96.5:2.1，占比呈现“两升一降”态势。</w:t>
      </w:r>
    </w:p>
    <w:p>
      <w:pPr>
        <w:pStyle w:val="style0"/>
        <w:numPr>
          <w:ilvl w:val="0"/>
          <w:numId w:val="0"/>
        </w:numPr>
        <w:spacing w:lineRule="exact" w:line="560"/>
        <w:ind w:firstLine="420" w:firstLineChars="200"/>
        <w:rPr>
          <w:rFonts w:ascii="仿宋" w:cs="仿宋" w:eastAsia="仿宋" w:hAnsi="仿宋" w:hint="eastAsia"/>
          <w:b w:val="false"/>
          <w:i w:val="false"/>
          <w:snapToGrid/>
          <w:color w:val="333333"/>
          <w:spacing w:val="0"/>
          <w:sz w:val="32"/>
          <w:szCs w:val="32"/>
          <w:lang w:val="en-US" w:eastAsia="zh-CN"/>
        </w:rPr>
      </w:pP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198120</wp:posOffset>
            </wp:positionH>
            <wp:positionV relativeFrom="paragraph">
              <wp:posOffset>292735</wp:posOffset>
            </wp:positionV>
            <wp:extent cx="4572000" cy="2743200"/>
            <wp:effectExtent l="0" t="0" r="0" b="0"/>
            <wp:wrapTopAndBottom/>
            <wp:docPr id="103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ascii="仿宋" w:cs="仿宋" w:eastAsia="仿宋" w:hAnsi="仿宋" w:hint="eastAsia"/>
          <w:b/>
          <w:bCs/>
          <w:i w:val="false"/>
          <w:snapToGrid/>
          <w:color w:val="333333"/>
          <w:spacing w:val="0"/>
          <w:sz w:val="32"/>
          <w:szCs w:val="32"/>
          <w:lang w:val="en-US" w:eastAsia="zh-CN"/>
        </w:rPr>
        <w:t>工业投资增势良好。</w:t>
      </w:r>
      <w:r>
        <w:rPr>
          <w:rFonts w:ascii="仿宋" w:cs="仿宋" w:eastAsia="仿宋" w:hAnsi="仿宋" w:hint="eastAsia"/>
          <w:b w:val="false"/>
          <w:i w:val="false"/>
          <w:snapToGrid/>
          <w:color w:val="333333"/>
          <w:spacing w:val="0"/>
          <w:sz w:val="32"/>
          <w:szCs w:val="32"/>
          <w:lang w:val="en-US" w:eastAsia="zh-CN"/>
        </w:rPr>
        <w:t>1-9月，工业投资完成62.4169亿元，同比增长96.1%，增速比1-8月提高了0.4个百分点。从三大门类看， 电力燃气及水的生产和供应业增速最高、占比最大，分别是95.2%、95.2%。</w:t>
      </w:r>
    </w:p>
    <w:p>
      <w:pPr>
        <w:pStyle w:val="style0"/>
        <w:numPr>
          <w:ilvl w:val="0"/>
          <w:numId w:val="0"/>
        </w:numPr>
        <w:spacing w:lineRule="exact" w:line="560"/>
        <w:ind w:firstLine="643" w:firstLineChars="200"/>
        <w:rPr>
          <w:rFonts w:ascii="仿宋" w:cs="仿宋" w:eastAsia="仿宋" w:hAnsi="仿宋" w:hint="eastAsia"/>
          <w:b w:val="false"/>
          <w:i w:val="false"/>
          <w:snapToGrid/>
          <w:color w:val="333333"/>
          <w:spacing w:val="0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/>
          <w:bCs/>
          <w:i w:val="false"/>
          <w:snapToGrid/>
          <w:color w:val="333333"/>
          <w:spacing w:val="0"/>
          <w:sz w:val="32"/>
          <w:szCs w:val="32"/>
          <w:lang w:val="en-US" w:eastAsia="zh-CN"/>
        </w:rPr>
        <w:t>投资高速增长动力强劲。</w:t>
      </w:r>
      <w:r>
        <w:rPr>
          <w:rFonts w:ascii="仿宋" w:cs="仿宋" w:eastAsia="仿宋" w:hAnsi="仿宋" w:hint="eastAsia"/>
          <w:b w:val="false"/>
          <w:i w:val="false"/>
          <w:snapToGrid/>
          <w:color w:val="333333"/>
          <w:spacing w:val="0"/>
          <w:sz w:val="32"/>
          <w:szCs w:val="32"/>
          <w:lang w:val="en-US" w:eastAsia="zh-CN"/>
        </w:rPr>
        <w:t>1-9月，木垒县投资增速比1-8月增长了0.2个百分点，比上半年增长11.1个百分点，连续9个月正增长，连续4个月保持 50%以上的增速，5个月增速排名全州第一（5月、6月、7月、8月、9月）。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225" w:afterAutospacing="false" w:lineRule="exact" w:line="560"/>
        <w:ind w:right="0" w:rightChars="0" w:firstLine="643" w:firstLineChars="200"/>
        <w:textAlignment w:val="auto"/>
        <w:rPr>
          <w:rFonts w:ascii="仿宋" w:cs="仿宋" w:eastAsia="仿宋" w:hAnsi="仿宋" w:hint="eastAsia"/>
          <w:b w:val="false"/>
          <w:i w:val="false"/>
          <w:snapToGrid/>
          <w:color w:val="333333"/>
          <w:spacing w:val="0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/>
          <w:bCs/>
          <w:i w:val="false"/>
          <w:snapToGrid/>
          <w:color w:val="333333"/>
          <w:spacing w:val="0"/>
          <w:sz w:val="32"/>
          <w:szCs w:val="32"/>
          <w:lang w:val="en-US" w:eastAsia="zh-CN"/>
        </w:rPr>
        <w:t>重点领域投资快速增长。</w:t>
      </w:r>
      <w:r>
        <w:rPr>
          <w:rFonts w:ascii="仿宋" w:cs="仿宋" w:eastAsia="仿宋" w:hAnsi="仿宋" w:hint="eastAsia"/>
          <w:b w:val="false"/>
          <w:i w:val="false"/>
          <w:snapToGrid/>
          <w:color w:val="333333"/>
          <w:spacing w:val="0"/>
          <w:sz w:val="32"/>
          <w:szCs w:val="32"/>
          <w:lang w:val="en-US" w:eastAsia="zh-CN"/>
        </w:rPr>
        <w:t xml:space="preserve">1-9月，工业投资同比增长96.1%，拉动固定资产投资增长96.1个百分点。其中，风力光伏发电施工项目20个，完成投资57.5801亿元，同比增长102.8%，拉动固定资产投资增长73个百分点。民间投资完成10.4339亿元，同比增长17.8%，拉动固定资产投资增长3.9个百分点。基础设施投资完成62.7405亿元，同比增长67.1%，拉动投资增长63个百分点。民生投资完成0.1895亿元，同比下降81.5%，下拉固定资产投资2.1个百分点。   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225" w:afterAutospacing="false" w:lineRule="exact" w:line="560"/>
        <w:ind w:right="0" w:rightChars="0" w:firstLine="643" w:firstLineChars="200"/>
        <w:jc w:val="center"/>
        <w:textAlignment w:val="auto"/>
        <w:rPr>
          <w:rFonts w:ascii="宋体" w:cs="宋体" w:eastAsia="宋体" w:hAnsi="宋体" w:hint="eastAsia"/>
          <w:b/>
          <w:bCs/>
          <w:i w:val="false"/>
          <w:snapToGrid/>
          <w:color w:val="333333"/>
          <w:spacing w:val="0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b/>
          <w:bCs/>
          <w:i w:val="false"/>
          <w:snapToGrid/>
          <w:color w:val="333333"/>
          <w:spacing w:val="0"/>
          <w:sz w:val="32"/>
          <w:szCs w:val="32"/>
          <w:lang w:val="en-US" w:eastAsia="zh-CN"/>
        </w:rPr>
        <w:t>1-9月分产业分构成完成投资情况</w:t>
      </w:r>
    </w:p>
    <w:tbl>
      <w:tblPr>
        <w:tblStyle w:val="style154"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500"/>
        <w:gridCol w:w="1770"/>
        <w:gridCol w:w="1852"/>
        <w:gridCol w:w="1197"/>
      </w:tblGrid>
      <w:tr>
        <w:trPr/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方正小标宋_GBK" w:cs="方正小标宋_GBK" w:eastAsia="方正小标宋_GBK" w:hAnsi="方正小标宋_GBK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方正小标宋_GBK" w:cs="方正小标宋_GBK" w:eastAsia="方正小标宋_GBK" w:hAnsi="方正小标宋_GBK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方正小标宋_GBK" w:cs="方正小标宋_GBK" w:eastAsia="方正小标宋_GBK" w:hAnsi="方正小标宋_GBK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方正小标宋_GBK" w:cs="方正小标宋_GBK" w:eastAsia="方正小标宋_GBK" w:hAnsi="方正小标宋_GBK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投资额（亿元）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方正小标宋_GBK" w:cs="方正小标宋_GBK" w:eastAsia="方正小标宋_GBK" w:hAnsi="方正小标宋_GBK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方正小标宋_GBK" w:cs="方正小标宋_GBK" w:eastAsia="方正小标宋_GBK" w:hAnsi="方正小标宋_GBK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同比增长（%）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方正小标宋_GBK" w:cs="方正小标宋_GBK" w:eastAsia="方正小标宋_GBK" w:hAnsi="方正小标宋_GBK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方正小标宋_GBK" w:cs="方正小标宋_GBK" w:eastAsia="方正小标宋_GBK" w:hAnsi="方正小标宋_GBK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占投资总额比重（%）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方正小标宋_GBK" w:cs="方正小标宋_GBK" w:eastAsia="方正小标宋_GBK" w:hAnsi="方正小标宋_GBK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方正小标宋_GBK" w:cs="方正小标宋_GBK" w:eastAsia="方正小标宋_GBK" w:hAnsi="方正小标宋_GBK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拉动百分点</w:t>
            </w:r>
          </w:p>
        </w:tc>
      </w:tr>
      <w:tr>
        <w:tblPrEx/>
        <w:trPr>
          <w:trHeight w:val="535" w:hRule="atLeast"/>
        </w:trPr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left"/>
              <w:textAlignment w:val="auto"/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固定资产投资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64.6703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61.8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61.8</w:t>
            </w:r>
          </w:p>
        </w:tc>
      </w:tr>
      <w:tr>
        <w:tblPrEx/>
        <w:trPr>
          <w:trHeight w:val="23" w:hRule="atLeast"/>
        </w:trPr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 w:firstLine="180" w:firstLineChars="100"/>
              <w:jc w:val="left"/>
              <w:textAlignment w:val="auto"/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按产业分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23" w:hRule="atLeast"/>
        </w:trPr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 w:firstLine="360" w:firstLineChars="200"/>
              <w:jc w:val="left"/>
              <w:textAlignment w:val="auto"/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第一产业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0.8882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1.4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1.6</w:t>
            </w:r>
          </w:p>
        </w:tc>
      </w:tr>
      <w:tr>
        <w:tblPrEx/>
        <w:trPr>
          <w:trHeight w:val="23" w:hRule="atLeast"/>
        </w:trPr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 w:firstLine="360" w:firstLineChars="200"/>
              <w:jc w:val="left"/>
              <w:textAlignment w:val="auto"/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第二产业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62.4169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96.1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96.5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76.5</w:t>
            </w:r>
          </w:p>
        </w:tc>
      </w:tr>
      <w:tr>
        <w:tblPrEx/>
        <w:trPr>
          <w:trHeight w:val="23" w:hRule="atLeast"/>
        </w:trPr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 w:firstLine="540" w:firstLineChars="300"/>
              <w:jc w:val="left"/>
              <w:textAlignment w:val="auto"/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其中：工业投资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62.4169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96.1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96.5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76.5</w:t>
            </w:r>
          </w:p>
        </w:tc>
      </w:tr>
      <w:tr>
        <w:tblPrEx/>
        <w:trPr>
          <w:trHeight w:val="23" w:hRule="atLeast"/>
        </w:trPr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 w:firstLine="360" w:firstLineChars="200"/>
              <w:jc w:val="left"/>
              <w:textAlignment w:val="auto"/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第三产业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1.3652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82.7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2.1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-16.3</w:t>
            </w:r>
          </w:p>
        </w:tc>
      </w:tr>
      <w:tr>
        <w:tblPrEx/>
        <w:trPr>
          <w:trHeight w:val="23" w:hRule="atLeast"/>
        </w:trPr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 w:firstLine="180" w:firstLineChars="100"/>
              <w:jc w:val="left"/>
              <w:textAlignment w:val="auto"/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按构成分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23" w:hRule="atLeast"/>
        </w:trPr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 w:firstLine="360" w:firstLineChars="200"/>
              <w:jc w:val="left"/>
              <w:textAlignment w:val="auto"/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建筑安装工程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17.6778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18.7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27.3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</w:tr>
      <w:tr>
        <w:tblPrEx/>
        <w:trPr>
          <w:trHeight w:val="23" w:hRule="atLeast"/>
        </w:trPr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 w:firstLine="360" w:firstLineChars="200"/>
              <w:jc w:val="left"/>
              <w:textAlignment w:val="auto"/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设备工器具购置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43.9921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89.3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51.9</w:t>
            </w:r>
          </w:p>
        </w:tc>
      </w:tr>
      <w:tr>
        <w:tblPrEx/>
        <w:trPr>
          <w:trHeight w:val="23" w:hRule="atLeast"/>
        </w:trPr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 w:firstLine="360" w:firstLineChars="200"/>
              <w:jc w:val="left"/>
              <w:textAlignment w:val="auto"/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其他费用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3.0004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63.9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4.6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94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225" w:afterAutospacing="false" w:lineRule="exact" w:line="560"/>
              <w:ind w:right="0"/>
              <w:jc w:val="center"/>
              <w:textAlignment w:val="auto"/>
              <w:rPr>
                <w:rFonts w:ascii="宋体" w:cs="宋体" w:eastAsia="宋体" w:hAnsi="宋体" w:hint="default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i w:val="false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2.9</w:t>
            </w:r>
          </w:p>
        </w:tc>
      </w:tr>
    </w:tbl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225" w:afterAutospacing="false" w:lineRule="exact" w:line="560"/>
        <w:ind w:right="0"/>
        <w:jc w:val="both"/>
        <w:textAlignment w:val="auto"/>
        <w:rPr>
          <w:rFonts w:ascii="仿宋" w:cs="仿宋" w:eastAsia="仿宋" w:hAnsi="仿宋" w:hint="eastAsia"/>
          <w:b/>
          <w:bCs/>
          <w:i w:val="false"/>
          <w:snapToGrid/>
          <w:color w:val="333333"/>
          <w:spacing w:val="0"/>
          <w:sz w:val="32"/>
          <w:szCs w:val="32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225" w:afterAutospacing="false" w:lineRule="exact" w:line="560"/>
        <w:ind w:right="0"/>
        <w:jc w:val="both"/>
        <w:textAlignment w:val="auto"/>
        <w:rPr>
          <w:rFonts w:ascii="仿宋" w:cs="仿宋" w:eastAsia="仿宋" w:hAnsi="仿宋" w:hint="eastAsia"/>
          <w:b/>
          <w:bCs/>
          <w:i w:val="false"/>
          <w:snapToGrid/>
          <w:color w:val="333333"/>
          <w:spacing w:val="0"/>
          <w:sz w:val="32"/>
          <w:szCs w:val="32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225" w:afterAutospacing="false" w:lineRule="exact" w:line="560"/>
        <w:ind w:right="0" w:firstLine="964" w:firstLineChars="300"/>
        <w:jc w:val="both"/>
        <w:textAlignment w:val="auto"/>
        <w:rPr>
          <w:rFonts w:ascii="仿宋" w:cs="仿宋" w:eastAsia="仿宋" w:hAnsi="仿宋" w:hint="eastAsia"/>
          <w:b w:val="false"/>
          <w:i w:val="false"/>
          <w:snapToGrid/>
          <w:color w:val="333333"/>
          <w:spacing w:val="0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/>
          <w:bCs/>
          <w:i w:val="false"/>
          <w:snapToGrid/>
          <w:color w:val="333333"/>
          <w:spacing w:val="0"/>
          <w:sz w:val="32"/>
          <w:szCs w:val="32"/>
          <w:lang w:val="en-US" w:eastAsia="zh-CN"/>
        </w:rPr>
        <w:t>7个行业投资“4增3降”。</w:t>
      </w:r>
      <w:r>
        <w:rPr>
          <w:rFonts w:ascii="仿宋" w:cs="仿宋" w:eastAsia="仿宋" w:hAnsi="仿宋" w:hint="eastAsia"/>
          <w:b w:val="false"/>
          <w:i w:val="false"/>
          <w:snapToGrid/>
          <w:color w:val="333333"/>
          <w:spacing w:val="0"/>
          <w:sz w:val="32"/>
          <w:szCs w:val="32"/>
          <w:lang w:val="en-US" w:eastAsia="zh-CN"/>
        </w:rPr>
        <w:t>1-9月，7个行业投资中，电力燃气及水的生产和供应业、教育业、装备制造业、农林牧渔服务业投资同比增长分别为95.2%、21.5%、448.3%、583.8%，合计占固定资产投资的98%，交通运输仓储和邮政业、水利环境和公共设施管理业、房地产业投资同比分别下降56%、84.6%、89.1%，合计占固定资产投资的1.8%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225" w:afterAutospacing="false" w:lineRule="exact" w:line="560"/>
        <w:ind w:right="0" w:firstLine="643" w:firstLineChars="200"/>
        <w:jc w:val="both"/>
        <w:textAlignment w:val="auto"/>
        <w:rPr>
          <w:rFonts w:ascii="仿宋" w:cs="仿宋" w:eastAsia="仿宋" w:hAnsi="仿宋" w:hint="eastAsia"/>
          <w:b w:val="false"/>
          <w:i w:val="false"/>
          <w:snapToGrid/>
          <w:color w:val="333333"/>
          <w:spacing w:val="0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/>
          <w:bCs/>
          <w:i w:val="false"/>
          <w:snapToGrid/>
          <w:color w:val="333333"/>
          <w:spacing w:val="0"/>
          <w:sz w:val="32"/>
          <w:szCs w:val="32"/>
          <w:lang w:val="en-US" w:eastAsia="zh-CN"/>
        </w:rPr>
        <w:t>重大项目快速增长。</w:t>
      </w:r>
      <w:r>
        <w:rPr>
          <w:rFonts w:ascii="仿宋" w:cs="仿宋" w:eastAsia="仿宋" w:hAnsi="仿宋" w:hint="eastAsia"/>
          <w:b w:val="false"/>
          <w:i w:val="false"/>
          <w:snapToGrid/>
          <w:color w:val="333333"/>
          <w:spacing w:val="0"/>
          <w:sz w:val="32"/>
          <w:szCs w:val="32"/>
          <w:lang w:val="en-US" w:eastAsia="zh-CN"/>
        </w:rPr>
        <w:t>1-9月，计划总投资亿元及以上在建项目34个，完成投资62.9071亿元，同比增长77.2%，占固定资产投资的97.3%，拉动固定资产投资增长68.6个百分点。其中，计划总投资10亿元及以上在建项目15个，完成投资59.3874亿元，同比增长123.8%，占固定资产投资的91.8%，拉动固定资产投资增长82.2个百分点。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after="0" w:lineRule="exact" w:line="560"/>
        <w:ind w:firstLine="643" w:firstLineChars="200"/>
        <w:jc w:val="both"/>
        <w:textAlignment w:val="auto"/>
        <w:rPr>
          <w:rFonts w:ascii="仿宋" w:cs="仿宋" w:eastAsia="仿宋" w:hAnsi="仿宋" w:hint="default"/>
          <w:b/>
          <w:bCs/>
          <w:i w:val="false"/>
          <w:snapToGrid/>
          <w:color w:val="333333"/>
          <w:spacing w:val="0"/>
          <w:kern w:val="2"/>
          <w:sz w:val="32"/>
          <w:szCs w:val="32"/>
          <w:lang w:val="en-US" w:bidi="ar-SA" w:eastAsia="zh-CN"/>
        </w:rPr>
      </w:pPr>
      <w:r>
        <w:rPr>
          <w:rFonts w:ascii="仿宋" w:cs="仿宋" w:eastAsia="仿宋" w:hAnsi="仿宋" w:hint="eastAsia"/>
          <w:b/>
          <w:bCs/>
          <w:i w:val="false"/>
          <w:snapToGrid/>
          <w:color w:val="333333"/>
          <w:spacing w:val="0"/>
          <w:kern w:val="2"/>
          <w:sz w:val="32"/>
          <w:szCs w:val="32"/>
          <w:lang w:val="en-US" w:bidi="ar-SA" w:eastAsia="zh-CN"/>
        </w:rPr>
        <w:t>房地产投资持续低迷。</w:t>
      </w:r>
      <w:r>
        <w:rPr>
          <w:rFonts w:ascii="仿宋" w:cs="仿宋" w:eastAsia="仿宋" w:hAnsi="仿宋" w:hint="eastAsia"/>
          <w:b w:val="false"/>
          <w:bCs w:val="false"/>
          <w:i w:val="false"/>
          <w:snapToGrid/>
          <w:color w:val="000000"/>
          <w:spacing w:val="0"/>
          <w:kern w:val="2"/>
          <w:sz w:val="32"/>
          <w:szCs w:val="32"/>
          <w:lang w:val="en-US" w:bidi="ar-SA" w:eastAsia="zh-CN"/>
        </w:rPr>
        <w:t>1-9月，全县房地产开发完成投资</w:t>
      </w:r>
      <w:r>
        <w:rPr>
          <w:rFonts w:ascii="仿宋_GB2312" w:cs="仿宋_GB2312" w:eastAsia="仿宋_GB2312" w:hAnsi="仿宋_GB2312" w:hint="eastAsia"/>
          <w:sz w:val="32"/>
          <w:szCs w:val="40"/>
          <w:lang w:val="en-US" w:eastAsia="zh-CN"/>
        </w:rPr>
        <w:t>降幅较1-8月收窄21.6个百分点。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40"/>
          <w:lang w:val="en-US" w:eastAsia="zh-CN"/>
        </w:rPr>
        <w:t>商品房</w:t>
      </w:r>
      <w:r>
        <w:rPr>
          <w:rFonts w:ascii="仿宋_GB2312" w:cs="仿宋_GB2312" w:eastAsia="仿宋_GB2312" w:hAnsi="仿宋_GB2312" w:hint="eastAsia"/>
          <w:sz w:val="32"/>
          <w:szCs w:val="40"/>
          <w:lang w:val="en-US" w:eastAsia="zh-CN"/>
        </w:rPr>
        <w:t>销售面积5384㎡，同比下降50.3%，其中，现房销售面积3120㎡，同比增长35.7%，期房销售面积2264㎡，同比下降73.5%；累计完成销售额1506万元，同比下降48.4%，其中，现房销售额891万元，同比增长45.1%，期房销售额615万元，同比下降73.3%；</w:t>
      </w:r>
    </w:p>
    <w:p>
      <w:pPr>
        <w:pStyle w:val="style2"/>
        <w:numPr>
          <w:ilvl w:val="0"/>
          <w:numId w:val="3"/>
        </w:numPr>
        <w:ind w:left="420" w:leftChars="0" w:firstLine="0" w:firstLineChars="0"/>
        <w:jc w:val="both"/>
        <w:rPr>
          <w:rFonts w:ascii="仿宋_GB2312" w:cs="仿宋_GB2312" w:eastAsia="仿宋_GB2312" w:hAnsi="仿宋_GB2312" w:hint="eastAsia"/>
          <w:kern w:val="0"/>
          <w:sz w:val="32"/>
          <w:szCs w:val="32"/>
          <w:highlight w:val="none"/>
          <w:lang w:val="en-US" w:eastAsia="zh-CN"/>
        </w:rPr>
      </w:pP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color w:val="auto"/>
          <w:spacing w:val="7"/>
          <w:sz w:val="32"/>
          <w:szCs w:val="32"/>
          <w:shd w:val="clear" w:color="auto" w:fill="ffffff"/>
          <w:lang w:val="en-US" w:eastAsia="zh-CN"/>
        </w:rPr>
        <w:t>消费市场持续向好，旅游人次保持增长</w:t>
      </w:r>
    </w:p>
    <w:p>
      <w:pPr>
        <w:pStyle w:val="style2"/>
        <w:numPr>
          <w:ilvl w:val="0"/>
          <w:numId w:val="0"/>
        </w:numPr>
        <w:ind w:firstLine="640" w:firstLineChars="200"/>
        <w:jc w:val="both"/>
        <w:rPr>
          <w:rFonts w:ascii="仿宋_GB2312" w:cs="仿宋_GB2312" w:eastAsia="仿宋_GB2312" w:hAnsi="仿宋_GB2312" w:hint="eastAsia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kern w:val="0"/>
          <w:sz w:val="32"/>
          <w:szCs w:val="32"/>
          <w:highlight w:val="none"/>
          <w:lang w:val="en-US" w:eastAsia="zh-CN"/>
        </w:rPr>
        <w:t>1-9月份，全县实现社会消费品零售总额9.06009亿元，同比增长5.3%。</w:t>
      </w:r>
      <w:r>
        <w:rPr>
          <w:rFonts w:ascii="仿宋" w:cs="仿宋" w:eastAsia="仿宋" w:hAnsi="仿宋" w:hint="eastAsia"/>
          <w:b w:val="false"/>
          <w:bCs/>
          <w:color w:val="000000"/>
          <w:kern w:val="0"/>
          <w:sz w:val="32"/>
          <w:szCs w:val="32"/>
          <w:highlight w:val="none"/>
          <w:lang w:val="en-US" w:eastAsia="zh-CN"/>
        </w:rPr>
        <w:t>高于全州7个百分点，居全州第1位</w:t>
      </w:r>
      <w:r>
        <w:rPr>
          <w:rFonts w:ascii="仿宋" w:cs="仿宋" w:eastAsia="仿宋" w:hAnsi="仿宋" w:hint="eastAsia"/>
          <w:b w:val="false"/>
          <w:bCs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ascii="仿宋_GB2312" w:cs="仿宋_GB2312" w:eastAsia="仿宋_GB2312" w:hAnsi="仿宋_GB2312" w:hint="eastAsia"/>
          <w:kern w:val="0"/>
          <w:sz w:val="32"/>
          <w:szCs w:val="32"/>
          <w:highlight w:val="none"/>
          <w:lang w:val="en-US" w:eastAsia="zh-CN"/>
        </w:rPr>
        <w:t>从销售单位所在地来看，城镇实现社会消费零售总额7.88228亿元，同比增长5.3%；乡村实现社会消费零售总额1.17781亿元，同比增长增长5.3%。从消费形态来看，餐饮收入实现1.43356亿元，同比增下降4%；商品零售实现7.62653亿元，同比增长7.3%。</w:t>
      </w:r>
    </w:p>
    <w:p>
      <w:pPr>
        <w:pStyle w:val="style2"/>
        <w:numPr>
          <w:ilvl w:val="0"/>
          <w:numId w:val="0"/>
        </w:numPr>
        <w:ind w:firstLine="640" w:firstLineChars="200"/>
        <w:jc w:val="both"/>
        <w:rPr>
          <w:rFonts w:hint="default"/>
          <w:lang w:val="en-US" w:eastAsia="zh-CN"/>
        </w:rPr>
      </w:pPr>
      <w:r>
        <w:rPr>
          <w:rFonts w:ascii="仿宋_GB2312" w:cs="仿宋_GB2312" w:eastAsia="仿宋_GB2312" w:hAnsi="仿宋_GB2312" w:hint="eastAsia"/>
          <w:b w:val="false"/>
          <w:bCs w:val="false"/>
          <w:kern w:val="0"/>
          <w:sz w:val="32"/>
          <w:szCs w:val="32"/>
          <w:highlight w:val="none"/>
          <w:lang w:val="en-US" w:eastAsia="zh-CN"/>
        </w:rPr>
        <w:t>1-8月，限额以上单位消费品销售额2.31418亿元，同比增长17.5%，增幅比1-8月收窄4.19个百分点，总量占全部商品零售总额的25.5%。</w:t>
      </w:r>
    </w:p>
    <w:p>
      <w:pPr>
        <w:pStyle w:val="style78"/>
        <w:ind w:left="0" w:leftChars="0" w:firstLine="0" w:firstLineChars="0"/>
        <w:rPr>
          <w:rFonts w:hint="default"/>
          <w:lang w:val="en-US" w:eastAsia="zh-CN"/>
        </w:rPr>
      </w:pPr>
      <w:r>
        <w:rPr/>
        <w:drawing>
          <wp:anchor distT="0" distB="0" distL="114300" distR="114300" simplePos="false" relativeHeight="4" behindDoc="false" locked="false" layoutInCell="true" allowOverlap="true">
            <wp:simplePos x="0" y="0"/>
            <wp:positionH relativeFrom="column">
              <wp:posOffset>46355</wp:posOffset>
            </wp:positionH>
            <wp:positionV relativeFrom="paragraph">
              <wp:posOffset>3848735</wp:posOffset>
            </wp:positionV>
            <wp:extent cx="5272405" cy="2119630"/>
            <wp:effectExtent l="0" t="0" r="0" b="0"/>
            <wp:wrapSquare wrapText="bothSides"/>
            <wp:docPr id="1033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88900</wp:posOffset>
            </wp:positionH>
            <wp:positionV relativeFrom="paragraph">
              <wp:posOffset>74930</wp:posOffset>
            </wp:positionV>
            <wp:extent cx="5092065" cy="2958465"/>
            <wp:effectExtent l="0" t="0" r="0" b="0"/>
            <wp:wrapTopAndBottom/>
            <wp:docPr id="1035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67" w:firstLineChars="200"/>
        <w:textAlignment w:val="auto"/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/>
          <w:bCs/>
          <w:spacing w:val="6"/>
          <w:sz w:val="32"/>
          <w:szCs w:val="32"/>
          <w:lang w:val="en-US" w:eastAsia="zh-CN"/>
        </w:rPr>
        <w:t>县属</w:t>
      </w:r>
      <w:r>
        <w:rPr>
          <w:rFonts w:ascii="仿宋_GB2312" w:cs="仿宋_GB2312" w:eastAsia="仿宋_GB2312" w:hAnsi="仿宋_GB2312" w:hint="eastAsia"/>
          <w:b/>
          <w:bCs/>
          <w:spacing w:val="6"/>
          <w:sz w:val="32"/>
          <w:szCs w:val="32"/>
        </w:rPr>
        <w:t>四大行业销售额（营业额）“</w:t>
      </w:r>
      <w:r>
        <w:rPr>
          <w:rFonts w:ascii="仿宋_GB2312" w:cs="仿宋_GB2312" w:eastAsia="仿宋_GB2312" w:hAnsi="仿宋_GB2312" w:hint="eastAsia"/>
          <w:b/>
          <w:bCs/>
          <w:spacing w:val="6"/>
          <w:sz w:val="32"/>
          <w:szCs w:val="32"/>
          <w:lang w:val="en-US" w:eastAsia="zh-CN"/>
        </w:rPr>
        <w:t>两</w:t>
      </w:r>
      <w:r>
        <w:rPr>
          <w:rFonts w:ascii="仿宋_GB2312" w:cs="仿宋_GB2312" w:eastAsia="仿宋_GB2312" w:hAnsi="仿宋_GB2312" w:hint="eastAsia"/>
          <w:b/>
          <w:bCs/>
          <w:spacing w:val="6"/>
          <w:sz w:val="32"/>
          <w:szCs w:val="32"/>
        </w:rPr>
        <w:t>增</w:t>
      </w:r>
      <w:r>
        <w:rPr>
          <w:rFonts w:ascii="仿宋_GB2312" w:cs="仿宋_GB2312" w:eastAsia="仿宋_GB2312" w:hAnsi="仿宋_GB2312" w:hint="eastAsia"/>
          <w:b/>
          <w:bCs/>
          <w:spacing w:val="6"/>
          <w:sz w:val="32"/>
          <w:szCs w:val="32"/>
          <w:lang w:val="en-US" w:eastAsia="zh-CN"/>
        </w:rPr>
        <w:t>两</w:t>
      </w:r>
      <w:r>
        <w:rPr>
          <w:rFonts w:ascii="仿宋_GB2312" w:cs="仿宋_GB2312" w:eastAsia="仿宋_GB2312" w:hAnsi="仿宋_GB2312" w:hint="eastAsia"/>
          <w:b/>
          <w:bCs/>
          <w:spacing w:val="6"/>
          <w:sz w:val="32"/>
          <w:szCs w:val="32"/>
        </w:rPr>
        <w:t>降”</w:t>
      </w:r>
      <w:r>
        <w:rPr>
          <w:rFonts w:ascii="仿宋_GB2312" w:cs="仿宋_GB2312" w:eastAsia="仿宋_GB2312" w:hAnsi="仿宋_GB2312" w:hint="eastAsia"/>
          <w:b/>
          <w:bCs/>
          <w:spacing w:val="6"/>
          <w:sz w:val="32"/>
          <w:szCs w:val="32"/>
          <w:lang w:eastAsia="zh-CN"/>
        </w:rPr>
        <w:t>。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9月份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批发业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实现销售额2039.8万元，同比增长20.4%，1-9月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批发业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实现销售额24969.4万元，同比增长0.2%；9月实现社会消费品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零售总额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359.1万元元，同比增长54.4%，1-9月份社会消费品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零售总额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2253.9万元，同比增长29.3%。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textAlignment w:val="auto"/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1-9月份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住宿业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营业额116.5万元，同比下降87%；1-9月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餐饮收入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7.1元，同比下降95.4%。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67" w:firstLineChars="200"/>
        <w:textAlignment w:val="auto"/>
        <w:rPr>
          <w:rFonts w:ascii="仿宋_GB2312" w:cs="仿宋_GB2312" w:eastAsia="仿宋_GB2312" w:hAnsi="仿宋_GB2312" w:hint="eastAsia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b/>
          <w:bCs/>
          <w:spacing w:val="6"/>
          <w:sz w:val="32"/>
          <w:szCs w:val="32"/>
          <w:lang w:eastAsia="zh-CN"/>
        </w:rPr>
        <w:t>近</w:t>
      </w:r>
      <w:r>
        <w:rPr>
          <w:rFonts w:ascii="仿宋_GB2312" w:cs="仿宋_GB2312" w:eastAsia="仿宋_GB2312" w:hAnsi="仿宋_GB2312" w:hint="eastAsia"/>
          <w:b/>
          <w:bCs/>
          <w:spacing w:val="6"/>
          <w:sz w:val="32"/>
          <w:szCs w:val="32"/>
          <w:lang w:val="en-US" w:eastAsia="zh-CN"/>
        </w:rPr>
        <w:t>6</w:t>
      </w:r>
      <w:r>
        <w:rPr>
          <w:rFonts w:ascii="仿宋_GB2312" w:cs="仿宋_GB2312" w:eastAsia="仿宋_GB2312" w:hAnsi="仿宋_GB2312" w:hint="eastAsia"/>
          <w:b/>
          <w:bCs/>
          <w:spacing w:val="6"/>
          <w:sz w:val="32"/>
          <w:szCs w:val="32"/>
          <w:lang w:eastAsia="zh-CN"/>
        </w:rPr>
        <w:t>成</w:t>
      </w:r>
      <w:r>
        <w:rPr>
          <w:rFonts w:ascii="仿宋_GB2312" w:cs="仿宋_GB2312" w:eastAsia="仿宋_GB2312" w:hAnsi="仿宋_GB2312" w:hint="eastAsia"/>
          <w:b/>
          <w:bCs/>
          <w:spacing w:val="6"/>
          <w:sz w:val="32"/>
          <w:szCs w:val="32"/>
        </w:rPr>
        <w:t>商品</w:t>
      </w:r>
      <w:r>
        <w:rPr>
          <w:rFonts w:ascii="仿宋_GB2312" w:cs="仿宋_GB2312" w:eastAsia="仿宋_GB2312" w:hAnsi="仿宋_GB2312" w:hint="eastAsia"/>
          <w:b/>
          <w:bCs/>
          <w:spacing w:val="6"/>
          <w:sz w:val="32"/>
          <w:szCs w:val="32"/>
          <w:lang w:eastAsia="zh-CN"/>
        </w:rPr>
        <w:t>销售</w:t>
      </w:r>
      <w:r>
        <w:rPr>
          <w:rFonts w:ascii="仿宋_GB2312" w:cs="仿宋_GB2312" w:eastAsia="仿宋_GB2312" w:hAnsi="仿宋_GB2312" w:hint="eastAsia"/>
          <w:b/>
          <w:bCs/>
          <w:spacing w:val="6"/>
          <w:sz w:val="32"/>
          <w:szCs w:val="32"/>
          <w:lang w:val="en-US" w:eastAsia="zh-CN"/>
        </w:rPr>
        <w:t>额</w:t>
      </w:r>
      <w:r>
        <w:rPr>
          <w:rFonts w:ascii="仿宋_GB2312" w:cs="仿宋_GB2312" w:eastAsia="仿宋_GB2312" w:hAnsi="仿宋_GB2312" w:hint="eastAsia"/>
          <w:b/>
          <w:bCs/>
          <w:spacing w:val="6"/>
          <w:sz w:val="32"/>
          <w:szCs w:val="32"/>
        </w:rPr>
        <w:t>正增长</w:t>
      </w:r>
      <w:r>
        <w:rPr>
          <w:rFonts w:ascii="仿宋_GB2312" w:cs="仿宋_GB2312" w:eastAsia="仿宋_GB2312" w:hAnsi="仿宋_GB2312" w:hint="eastAsia"/>
          <w:b/>
          <w:bCs/>
          <w:spacing w:val="6"/>
          <w:sz w:val="32"/>
          <w:szCs w:val="32"/>
          <w:lang w:eastAsia="zh-CN"/>
        </w:rPr>
        <w:t>。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9月份，10种商品类别中6类商品销售同比增长，增长面达41.5%，其中：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粮油、食品类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商品销售额453万元，同比增长141.5%；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饮料类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商品销售额9.7万元，同比增长3.2%；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烟酒类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商品销售额9.3万元，同比增长55%；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日用品类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商品销售额58.6万元，同比增长58%；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书报杂志类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商品销售额4.2万元，绝对数增长4.2万元；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石油及制品类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销售额1861.7万元，同比增长28.1%。</w:t>
      </w:r>
      <w:r>
        <w:rPr>
          <w:rFonts w:ascii="仿宋_GB2312" w:cs="仿宋_GB2312" w:eastAsia="仿宋_GB2312" w:hAnsi="仿宋_GB2312" w:hint="eastAsia"/>
          <w:b/>
          <w:bCs/>
          <w:kern w:val="0"/>
          <w:sz w:val="32"/>
          <w:szCs w:val="32"/>
          <w:highlight w:val="none"/>
          <w:lang w:val="en-US" w:eastAsia="zh-CN"/>
        </w:rPr>
        <w:t>化妆品类</w:t>
      </w:r>
      <w:r>
        <w:rPr>
          <w:rFonts w:ascii="仿宋_GB2312" w:cs="仿宋_GB2312" w:eastAsia="仿宋_GB2312" w:hAnsi="仿宋_GB2312" w:hint="eastAsia"/>
          <w:kern w:val="0"/>
          <w:sz w:val="32"/>
          <w:szCs w:val="32"/>
          <w:highlight w:val="none"/>
          <w:lang w:val="en-US" w:eastAsia="zh-CN"/>
        </w:rPr>
        <w:t>商品销售额1.7万元，同比下降5.6%；</w:t>
      </w:r>
      <w:r>
        <w:rPr>
          <w:rFonts w:ascii="仿宋_GB2312" w:cs="仿宋_GB2312" w:eastAsia="仿宋_GB2312" w:hAnsi="仿宋_GB2312" w:hint="eastAsia"/>
          <w:b/>
          <w:bCs/>
          <w:kern w:val="0"/>
          <w:sz w:val="32"/>
          <w:szCs w:val="32"/>
          <w:highlight w:val="none"/>
          <w:lang w:val="en-US" w:eastAsia="zh-CN"/>
        </w:rPr>
        <w:t>家用电器和音像器材类</w:t>
      </w:r>
      <w:r>
        <w:rPr>
          <w:rFonts w:ascii="仿宋_GB2312" w:cs="仿宋_GB2312" w:eastAsia="仿宋_GB2312" w:hAnsi="仿宋_GB2312" w:hint="eastAsia"/>
          <w:kern w:val="0"/>
          <w:sz w:val="32"/>
          <w:szCs w:val="32"/>
          <w:highlight w:val="none"/>
          <w:lang w:val="en-US" w:eastAsia="zh-CN"/>
        </w:rPr>
        <w:t>商品销售额0.2万元，同比下降33.3%；</w:t>
      </w:r>
      <w:r>
        <w:rPr>
          <w:rFonts w:ascii="仿宋_GB2312" w:cs="仿宋_GB2312" w:eastAsia="仿宋_GB2312" w:hAnsi="仿宋_GB2312" w:hint="eastAsia"/>
          <w:b/>
          <w:bCs/>
          <w:kern w:val="0"/>
          <w:sz w:val="32"/>
          <w:szCs w:val="32"/>
          <w:highlight w:val="none"/>
          <w:lang w:val="en-US" w:eastAsia="zh-CN"/>
        </w:rPr>
        <w:t>文化办公用品类</w:t>
      </w:r>
      <w:r>
        <w:rPr>
          <w:rFonts w:ascii="仿宋_GB2312" w:cs="仿宋_GB2312" w:eastAsia="仿宋_GB2312" w:hAnsi="仿宋_GB2312" w:hint="eastAsia"/>
          <w:kern w:val="0"/>
          <w:sz w:val="32"/>
          <w:szCs w:val="32"/>
          <w:highlight w:val="none"/>
          <w:lang w:val="en-US" w:eastAsia="zh-CN"/>
        </w:rPr>
        <w:t>商品销售额0.5万元，同比下降54.5%；</w:t>
      </w:r>
      <w:r>
        <w:rPr>
          <w:rFonts w:ascii="仿宋_GB2312" w:cs="仿宋_GB2312" w:eastAsia="仿宋_GB2312" w:hAnsi="仿宋_GB2312" w:hint="eastAsia"/>
          <w:b/>
          <w:bCs/>
          <w:kern w:val="0"/>
          <w:sz w:val="32"/>
          <w:szCs w:val="32"/>
          <w:highlight w:val="none"/>
          <w:lang w:val="en-US" w:eastAsia="zh-CN"/>
        </w:rPr>
        <w:t>煤炭及制品类</w:t>
      </w:r>
      <w:r>
        <w:rPr>
          <w:rFonts w:ascii="仿宋_GB2312" w:cs="仿宋_GB2312" w:eastAsia="仿宋_GB2312" w:hAnsi="仿宋_GB2312" w:hint="eastAsia"/>
          <w:kern w:val="0"/>
          <w:sz w:val="32"/>
          <w:szCs w:val="32"/>
          <w:highlight w:val="none"/>
          <w:lang w:val="en-US" w:eastAsia="zh-CN"/>
        </w:rPr>
        <w:t>商品销售额0，同比下降100%。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/>
          <w:bCs/>
          <w:kern w:val="0"/>
          <w:sz w:val="32"/>
          <w:szCs w:val="32"/>
          <w:highlight w:val="none"/>
          <w:lang w:val="en-US" w:eastAsia="zh-CN"/>
        </w:rPr>
        <w:t>基本生活类商品增势良好</w:t>
      </w:r>
      <w:r>
        <w:rPr>
          <w:rFonts w:ascii="仿宋_GB2312" w:cs="仿宋_GB2312" w:eastAsia="仿宋_GB2312" w:hAnsi="仿宋_GB2312" w:hint="eastAsia"/>
          <w:kern w:val="0"/>
          <w:sz w:val="32"/>
          <w:szCs w:val="32"/>
          <w:highlight w:val="none"/>
          <w:lang w:val="en-US" w:eastAsia="zh-CN"/>
        </w:rPr>
        <w:t>。1-9月份，9类商品中有5类商品零售额实现正增长。</w:t>
      </w:r>
      <w:r>
        <w:rPr>
          <w:rFonts w:ascii="仿宋_GB2312" w:cs="仿宋_GB2312" w:eastAsia="仿宋_GB2312" w:hAnsi="仿宋_GB2312" w:hint="eastAsia"/>
          <w:b/>
          <w:bCs/>
          <w:kern w:val="0"/>
          <w:sz w:val="32"/>
          <w:szCs w:val="32"/>
          <w:highlight w:val="none"/>
          <w:lang w:val="en-US" w:eastAsia="zh-CN"/>
        </w:rPr>
        <w:t>粮油、食品类</w:t>
      </w:r>
      <w:r>
        <w:rPr>
          <w:rFonts w:ascii="仿宋_GB2312" w:cs="仿宋_GB2312" w:eastAsia="仿宋_GB2312" w:hAnsi="仿宋_GB2312" w:hint="eastAsia"/>
          <w:kern w:val="0"/>
          <w:sz w:val="32"/>
          <w:szCs w:val="32"/>
          <w:highlight w:val="none"/>
          <w:lang w:val="en-US" w:eastAsia="zh-CN"/>
        </w:rPr>
        <w:t>实现零售额992.3万元，同比增长32%；</w:t>
      </w:r>
      <w:r>
        <w:rPr>
          <w:rFonts w:ascii="仿宋_GB2312" w:cs="仿宋_GB2312" w:eastAsia="仿宋_GB2312" w:hAnsi="仿宋_GB2312" w:hint="eastAsia"/>
          <w:b/>
          <w:bCs/>
          <w:kern w:val="0"/>
          <w:sz w:val="32"/>
          <w:szCs w:val="32"/>
          <w:highlight w:val="none"/>
          <w:lang w:val="en-US" w:eastAsia="zh-CN"/>
        </w:rPr>
        <w:t>烟酒类</w:t>
      </w:r>
      <w:r>
        <w:rPr>
          <w:rFonts w:ascii="仿宋_GB2312" w:cs="仿宋_GB2312" w:eastAsia="仿宋_GB2312" w:hAnsi="仿宋_GB2312" w:hint="eastAsia"/>
          <w:kern w:val="0"/>
          <w:sz w:val="32"/>
          <w:szCs w:val="32"/>
          <w:highlight w:val="none"/>
          <w:lang w:val="en-US" w:eastAsia="zh-CN"/>
        </w:rPr>
        <w:t>实现零售额92.8万元，同比增长56.5%；</w:t>
      </w:r>
      <w:r>
        <w:rPr>
          <w:rFonts w:ascii="仿宋_GB2312" w:cs="仿宋_GB2312" w:eastAsia="仿宋_GB2312" w:hAnsi="仿宋_GB2312" w:hint="eastAsia"/>
          <w:b/>
          <w:bCs/>
          <w:kern w:val="0"/>
          <w:sz w:val="32"/>
          <w:szCs w:val="32"/>
          <w:highlight w:val="none"/>
          <w:lang w:val="en-US" w:eastAsia="zh-CN"/>
        </w:rPr>
        <w:t>书报杂志类</w:t>
      </w:r>
      <w:r>
        <w:rPr>
          <w:rFonts w:ascii="仿宋_GB2312" w:cs="仿宋_GB2312" w:eastAsia="仿宋_GB2312" w:hAnsi="仿宋_GB2312" w:hint="eastAsia"/>
          <w:kern w:val="0"/>
          <w:sz w:val="32"/>
          <w:szCs w:val="32"/>
          <w:highlight w:val="none"/>
          <w:lang w:val="en-US" w:eastAsia="zh-CN"/>
        </w:rPr>
        <w:t>实现零售额4.2万元，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绝对数增长4.2万元；</w:t>
      </w:r>
      <w:r>
        <w:rPr>
          <w:rFonts w:ascii="仿宋_GB2312" w:cs="仿宋_GB2312" w:eastAsia="仿宋_GB2312" w:hAnsi="仿宋_GB2312" w:hint="eastAsia"/>
          <w:b/>
          <w:bCs/>
          <w:kern w:val="0"/>
          <w:sz w:val="32"/>
          <w:szCs w:val="32"/>
          <w:highlight w:val="none"/>
          <w:lang w:val="en-US" w:eastAsia="zh-CN"/>
        </w:rPr>
        <w:t>文化办公用品类</w:t>
      </w:r>
      <w:r>
        <w:rPr>
          <w:rFonts w:ascii="仿宋_GB2312" w:cs="仿宋_GB2312" w:eastAsia="仿宋_GB2312" w:hAnsi="仿宋_GB2312" w:hint="eastAsia"/>
          <w:kern w:val="0"/>
          <w:sz w:val="32"/>
          <w:szCs w:val="32"/>
          <w:highlight w:val="none"/>
          <w:lang w:val="en-US" w:eastAsia="zh-CN"/>
        </w:rPr>
        <w:t>实现零售额5.2万元，同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比增长6.1%；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石油及制品类</w:t>
      </w:r>
      <w:r>
        <w:rPr>
          <w:rFonts w:ascii="仿宋_GB2312" w:cs="仿宋_GB2312" w:eastAsia="仿宋_GB2312" w:hAnsi="仿宋_GB2312" w:hint="eastAsia"/>
          <w:b w:val="false"/>
          <w:bCs w:val="false"/>
          <w:sz w:val="32"/>
          <w:szCs w:val="32"/>
          <w:lang w:val="en-US" w:eastAsia="zh-CN"/>
        </w:rPr>
        <w:t>实现零售额669.4万元，同比增长66.6%。</w:t>
      </w:r>
    </w:p>
    <w:p>
      <w:pPr>
        <w:pStyle w:val="style4097"/>
        <w:jc w:val="center"/>
        <w:rPr>
          <w:rFonts w:ascii="仿宋_GB2312" w:cs="仿宋_GB2312" w:eastAsia="仿宋_GB2312" w:hAnsi="仿宋_GB2312" w:hint="eastAsia"/>
          <w:b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pStyle w:val="style4097"/>
        <w:jc w:val="center"/>
        <w:rPr>
          <w:rFonts w:ascii="仿宋_GB2312" w:cs="仿宋_GB2312" w:eastAsia="仿宋_GB2312" w:hAnsi="仿宋_GB2312" w:hint="eastAsia"/>
          <w:b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pStyle w:val="style4097"/>
        <w:jc w:val="center"/>
        <w:rPr>
          <w:rFonts w:ascii="仿宋_GB2312" w:cs="仿宋_GB2312" w:eastAsia="仿宋_GB2312" w:hAnsi="仿宋_GB2312" w:hint="default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b/>
          <w:bCs/>
          <w:kern w:val="0"/>
          <w:sz w:val="32"/>
          <w:szCs w:val="32"/>
          <w:highlight w:val="none"/>
          <w:lang w:val="en-US" w:eastAsia="zh-CN"/>
        </w:rPr>
        <w:t>社会消费品零售总额分类情况（单位：万元、%）</w:t>
      </w:r>
      <w:r>
        <w:rPr>
          <w:rFonts w:ascii="仿宋_GB2312" w:cs="仿宋_GB2312" w:eastAsia="仿宋_GB2312" w:hAnsi="仿宋_GB2312" w:hint="eastAsia"/>
          <w:kern w:val="0"/>
          <w:sz w:val="32"/>
          <w:szCs w:val="32"/>
          <w:highlight w:val="none"/>
          <w:lang w:val="en-US" w:eastAsia="zh-CN"/>
        </w:rPr>
        <w:t xml:space="preserve">   </w:t>
      </w:r>
    </w:p>
    <w:p>
      <w:pPr>
        <w:pStyle w:val="style77"/>
        <w:numPr>
          <w:ilvl w:val="0"/>
          <w:numId w:val="0"/>
        </w:numPr>
        <w:jc w:val="center"/>
        <w:rPr/>
      </w:pPr>
      <w:r>
        <w:rPr/>
        <w:object>
          <v:shape id="1036" type="#_x0000_t75" filled="f" stroked="f" style="margin-left:0.0pt;margin-top:0.0pt;width:405.0pt;height:363.0pt;mso-wrap-distance-left:0.0pt;mso-wrap-distance-right:0.0pt;visibility:visible;">
            <w10:anchorlock/>
            <v:imagedata r:id="rId8" embosscolor="white" o:title=""/>
            <v:stroke on="f"/>
            <v:fill/>
          </v:shape>
          <o:OLEObject Type="EMBED" ProgID="Excel.Chart.8" ShapeID="1036" DrawAspect="Content" ObjectID="0" r:id="rId9"/>
        </w:object>
      </w:r>
    </w:p>
    <w:p>
      <w:pPr>
        <w:pStyle w:val="style4097"/>
        <w:jc w:val="center"/>
        <w:rPr>
          <w:rFonts w:ascii="仿宋_GB2312" w:cs="仿宋_GB2312" w:eastAsia="仿宋_GB2312" w:hAnsi="仿宋_GB2312" w:hint="default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b/>
          <w:bCs/>
          <w:kern w:val="0"/>
          <w:sz w:val="32"/>
          <w:szCs w:val="32"/>
          <w:highlight w:val="none"/>
          <w:lang w:val="en-US" w:eastAsia="zh-CN"/>
        </w:rPr>
        <w:t xml:space="preserve">限额以上商品零售类值情况（单位：万元、%）  </w:t>
      </w:r>
    </w:p>
    <w:p>
      <w:pPr>
        <w:pStyle w:val="style77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/>
        <w:drawing>
          <wp:inline distL="0" distT="0" distB="0" distR="0">
            <wp:extent cx="4701540" cy="2540000"/>
            <wp:effectExtent l="0" t="0" r="7620" b="5080"/>
            <wp:docPr id="1037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01540" cy="25400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exact" w:line="560"/>
        <w:ind w:right="0" w:rightChars="0" w:firstLine="640" w:firstLineChars="200"/>
        <w:jc w:val="left"/>
        <w:textAlignment w:val="auto"/>
        <w:outlineLvl w:val="9"/>
        <w:rPr>
          <w:rFonts w:ascii="黑体" w:cs="黑体" w:eastAsia="黑体" w:hAnsi="黑体" w:hint="eastAsia"/>
          <w:b w:val="false"/>
          <w:bCs w:val="false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="0" w:beforeAutospacing="false" w:after="0" w:afterAutospacing="false" w:lineRule="exact" w:line="560"/>
        <w:ind w:right="0" w:rightChars="0" w:firstLine="640" w:firstLineChars="200"/>
        <w:jc w:val="both"/>
        <w:textAlignment w:val="auto"/>
        <w:rPr>
          <w:rFonts w:ascii="仿宋_GB2312" w:cs="仿宋_GB2312" w:eastAsia="仿宋_GB2312" w:hAnsi="仿宋_GB2312" w:hint="eastAsia"/>
          <w:color w:val="auto"/>
          <w:kern w:val="2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auto"/>
          <w:kern w:val="2"/>
          <w:sz w:val="32"/>
          <w:szCs w:val="32"/>
          <w:lang w:val="en-US" w:bidi="ar-SA" w:eastAsia="zh-CN"/>
        </w:rPr>
        <w:t>从文旅部门数据看，截止9月底，全县累计旅游人数279.96万人次，同比增长 27.25%；旅游收入201471万元，同比增长72.12%；过夜游客人数141.04万人次，同比增长22.14%，收入101548.8万元，同比增长50.02%；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3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="0" w:beforeAutospacing="false" w:after="0" w:afterAutospacing="false" w:lineRule="exact" w:line="560"/>
        <w:ind w:left="420" w:leftChars="0" w:right="0" w:rightChars="0" w:firstLine="0" w:firstLineChars="0"/>
        <w:jc w:val="both"/>
        <w:textAlignment w:val="auto"/>
        <w:rPr>
          <w:rFonts w:ascii="楷体_GB2312" w:cs="楷体_GB2312" w:eastAsia="楷体_GB2312" w:hAnsi="楷体_GB2312" w:hint="eastAsia"/>
          <w:b/>
          <w:bCs/>
          <w:i w:val="false"/>
          <w:caps w:val="false"/>
          <w:color w:val="auto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ascii="楷体_GB2312" w:cs="楷体_GB2312" w:eastAsia="楷体_GB2312" w:hAnsi="楷体_GB2312" w:hint="eastAsia"/>
          <w:b/>
          <w:bCs/>
          <w:i w:val="false"/>
          <w:caps w:val="false"/>
          <w:color w:val="auto"/>
          <w:spacing w:val="7"/>
          <w:sz w:val="32"/>
          <w:szCs w:val="32"/>
          <w:shd w:val="clear" w:color="auto" w:fill="ffffff"/>
          <w:lang w:val="en-US" w:eastAsia="zh-CN"/>
        </w:rPr>
        <w:t>一般公共预算收入较快增长，金融市场总体平稳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="0" w:beforeAutospacing="false" w:after="0" w:afterAutospacing="false" w:lineRule="exact" w:line="560"/>
        <w:ind w:right="0" w:rightChars="0" w:firstLine="668" w:firstLineChars="200"/>
        <w:jc w:val="both"/>
        <w:textAlignment w:val="auto"/>
        <w:rPr>
          <w:rFonts w:ascii="仿宋_GB2312" w:cs="仿宋_GB2312" w:eastAsia="仿宋_GB2312" w:hAnsi="仿宋_GB2312" w:hint="eastAsia"/>
          <w:color w:val="auto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 w:val="false"/>
          <w:bCs w:val="false"/>
          <w:i w:val="false"/>
          <w:caps w:val="false"/>
          <w:color w:val="auto"/>
          <w:spacing w:val="7"/>
          <w:sz w:val="32"/>
          <w:szCs w:val="32"/>
          <w:shd w:val="clear" w:color="auto" w:fill="ffffff"/>
          <w:lang w:val="en-US" w:eastAsia="zh-CN"/>
        </w:rPr>
        <w:t>一般公共预算收入较快增长。1-9月，全县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地方财政一般公共预算收入累计完成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val="en-US" w:eastAsia="zh-CN"/>
        </w:rPr>
        <w:t>53064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万元，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val="en-US" w:eastAsia="zh-CN"/>
        </w:rPr>
        <w:t>同比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eastAsia="zh-CN"/>
        </w:rPr>
        <w:t>增长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val="en-US" w:eastAsia="zh-CN"/>
        </w:rPr>
        <w:t>25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%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eastAsia="zh-CN"/>
        </w:rPr>
        <w:t>，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完成预算的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val="en-US" w:eastAsia="zh-CN"/>
        </w:rPr>
        <w:t>84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%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eastAsia="zh-CN"/>
        </w:rPr>
        <w:t>，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val="en-US" w:eastAsia="zh-CN"/>
        </w:rPr>
        <w:t>增速较1-7月减少3.5个百分点。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其中：税收收入完成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val="en-US" w:eastAsia="zh-CN"/>
        </w:rPr>
        <w:t>42243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万元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eastAsia="zh-CN"/>
        </w:rPr>
        <w:t>，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val="en-US" w:eastAsia="zh-CN"/>
        </w:rPr>
        <w:t>同比增长35.7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%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eastAsia="zh-CN"/>
        </w:rPr>
        <w:t>，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完成预算的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val="en-US" w:eastAsia="zh-CN"/>
        </w:rPr>
        <w:t>85.6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%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eastAsia="zh-CN"/>
        </w:rPr>
        <w:t>；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非税收入完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eastAsia="zh-CN"/>
        </w:rPr>
        <w:t>成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val="en-US" w:eastAsia="zh-CN"/>
        </w:rPr>
        <w:t>10821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万元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eastAsia="zh-CN"/>
        </w:rPr>
        <w:t>，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val="en-US" w:eastAsia="zh-CN"/>
        </w:rPr>
        <w:t>同比下降4.4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%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eastAsia="zh-CN"/>
        </w:rPr>
        <w:t>，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完成预算的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val="en-US" w:eastAsia="zh-CN"/>
        </w:rPr>
        <w:t>78.4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%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eastAsia="zh-CN"/>
        </w:rPr>
        <w:t>；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val="en-US" w:eastAsia="zh-CN"/>
        </w:rPr>
        <w:t>一般公共财政预算支出209264万元，同比增长4.1%。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="0" w:beforeAutospacing="false" w:after="0" w:afterAutospacing="false" w:lineRule="exact" w:line="560"/>
        <w:ind w:right="0" w:rightChars="0" w:firstLine="640" w:firstLineChars="200"/>
        <w:jc w:val="both"/>
        <w:textAlignment w:val="auto"/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  <w:shd w:val="clear" w:color="auto" w:fill="ffffff"/>
          <w:lang w:val="en-US" w:eastAsia="zh-CN"/>
        </w:rPr>
        <w:t>金融存贷保持平稳。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</w:rPr>
        <w:t>金融机构人民币存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款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</w:rPr>
        <w:t>余额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_GB2312" w:cs="仿宋_GB2312" w:eastAsia="仿宋_GB2312" w:hAnsi="仿宋_GB2312" w:hint="default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61.47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亿元，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</w:rPr>
        <w:t>同比增长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_GB2312" w:cs="仿宋_GB2312" w:eastAsia="仿宋_GB2312" w:hAnsi="仿宋_GB2312" w:hint="default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0.24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</w:rPr>
        <w:t>%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低于全州（ </w:t>
      </w:r>
      <w:r>
        <w:rPr>
          <w:rFonts w:ascii="仿宋_GB2312" w:cs="仿宋_GB2312" w:eastAsia="仿宋_GB2312" w:hAnsi="仿宋_GB2312" w:hint="default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2.14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%）</w:t>
      </w:r>
      <w:r>
        <w:rPr>
          <w:rFonts w:ascii="仿宋_GB2312" w:cs="仿宋_GB2312" w:eastAsia="仿宋_GB2312" w:hAnsi="仿宋_GB2312" w:hint="default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1.9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个百分点；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</w:rPr>
        <w:t>贷款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余额</w:t>
      </w:r>
      <w:r>
        <w:rPr>
          <w:rFonts w:ascii="仿宋_GB2312" w:cs="仿宋_GB2312" w:eastAsia="仿宋_GB2312" w:hAnsi="仿宋_GB2312" w:hint="default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57.77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亿元，同比下降 </w:t>
      </w:r>
      <w:r>
        <w:rPr>
          <w:rFonts w:ascii="仿宋_GB2312" w:cs="仿宋_GB2312" w:eastAsia="仿宋_GB2312" w:hAnsi="仿宋_GB2312" w:hint="default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7.9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</w:rPr>
        <w:t>%，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低于全州（</w:t>
      </w:r>
      <w:r>
        <w:rPr>
          <w:rFonts w:ascii="仿宋_GB2312" w:cs="仿宋_GB2312" w:eastAsia="仿宋_GB2312" w:hAnsi="仿宋_GB2312" w:hint="default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12.88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%）</w:t>
      </w:r>
      <w:r>
        <w:rPr>
          <w:rFonts w:ascii="仿宋_GB2312" w:cs="仿宋_GB2312" w:eastAsia="仿宋_GB2312" w:hAnsi="仿宋_GB2312" w:hint="default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_GB2312" w:cs="仿宋_GB2312" w:eastAsia="仿宋_GB2312" w:hAnsi="仿宋_GB2312" w:hint="default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.7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_GB2312" w:cs="仿宋_GB2312" w:eastAsia="仿宋_GB2312" w:hAnsi="仿宋_GB2312" w:hint="default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个百分点；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shd w:val="clear" w:color="auto" w:fill="ffffff"/>
          <w:lang w:val="en-US" w:eastAsia="zh-CN"/>
        </w:rPr>
        <w:t>期末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存贷比 </w:t>
      </w:r>
      <w:r>
        <w:rPr>
          <w:rFonts w:ascii="仿宋_GB2312" w:cs="仿宋_GB2312" w:eastAsia="仿宋_GB2312" w:hAnsi="仿宋_GB2312" w:hint="default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94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%。</w:t>
      </w:r>
    </w:p>
    <w:p>
      <w:pPr>
        <w:pStyle w:val="style0"/>
        <w:numPr>
          <w:ilvl w:val="0"/>
          <w:numId w:val="1"/>
        </w:numPr>
        <w:ind w:left="0" w:leftChars="0" w:firstLine="640" w:firstLineChars="200"/>
        <w:jc w:val="both"/>
        <w:rPr>
          <w:rFonts w:ascii="黑体" w:cs="黑体" w:eastAsia="黑体" w:hAnsi="黑体" w:hint="eastAsia"/>
          <w:i w:val="false"/>
          <w:caps w:val="false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黑体" w:cs="黑体" w:eastAsia="黑体" w:hAnsi="黑体" w:hint="eastAsia"/>
          <w:i w:val="false"/>
          <w:caps w:val="false"/>
          <w:color w:val="auto"/>
          <w:spacing w:val="0"/>
          <w:sz w:val="32"/>
          <w:szCs w:val="32"/>
          <w:shd w:val="clear" w:color="auto" w:fill="ffffff"/>
        </w:rPr>
        <w:t>需关注</w:t>
      </w:r>
      <w:r>
        <w:rPr>
          <w:rFonts w:ascii="黑体" w:cs="黑体" w:eastAsia="黑体" w:hAnsi="黑体" w:hint="eastAsia"/>
          <w:i w:val="false"/>
          <w:caps w:val="false"/>
          <w:color w:val="auto"/>
          <w:spacing w:val="0"/>
          <w:sz w:val="32"/>
          <w:szCs w:val="32"/>
          <w:shd w:val="clear" w:color="auto" w:fill="ffffff"/>
          <w:lang w:val="en-US" w:eastAsia="zh-CN"/>
        </w:rPr>
        <w:t>问题</w:t>
      </w:r>
      <w:r>
        <w:rPr>
          <w:rFonts w:ascii="黑体" w:cs="黑体" w:eastAsia="黑体" w:hAnsi="黑体" w:hint="eastAsia"/>
          <w:i w:val="false"/>
          <w:caps w:val="false"/>
          <w:color w:val="auto"/>
          <w:spacing w:val="0"/>
          <w:sz w:val="32"/>
          <w:szCs w:val="32"/>
          <w:shd w:val="clear" w:color="auto" w:fill="ffffff"/>
        </w:rPr>
        <w:t> 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225" w:afterAutospacing="false" w:lineRule="exact" w:line="560"/>
        <w:ind w:right="0" w:firstLine="643" w:firstLineChars="200"/>
        <w:textAlignment w:val="auto"/>
        <w:rPr>
          <w:rFonts w:ascii="仿宋" w:cs="仿宋" w:eastAsia="仿宋" w:hAnsi="仿宋" w:hint="default"/>
          <w:b w:val="false"/>
          <w:i w:val="false"/>
          <w:snapToGrid/>
          <w:color w:val="333333"/>
          <w:spacing w:val="0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/>
          <w:bCs/>
          <w:i w:val="false"/>
          <w:snapToGrid/>
          <w:color w:val="333333"/>
          <w:spacing w:val="0"/>
          <w:sz w:val="32"/>
          <w:szCs w:val="32"/>
          <w:lang w:val="en-US" w:eastAsia="zh-CN"/>
        </w:rPr>
        <w:t>1、固定资产投资部分行业需要关注。</w:t>
      </w:r>
      <w:r>
        <w:rPr>
          <w:rFonts w:ascii="仿宋" w:cs="仿宋" w:eastAsia="仿宋" w:hAnsi="仿宋" w:hint="eastAsia"/>
          <w:b w:val="false"/>
          <w:bCs w:val="false"/>
          <w:i w:val="false"/>
          <w:snapToGrid/>
          <w:color w:val="333333"/>
          <w:spacing w:val="0"/>
          <w:sz w:val="32"/>
          <w:szCs w:val="32"/>
          <w:lang w:val="en-US" w:eastAsia="zh-CN"/>
        </w:rPr>
        <w:t>固定资产投资目前全州排名第一，但部分行业还需要关注。一是</w:t>
      </w:r>
      <w:r>
        <w:rPr>
          <w:rFonts w:ascii="仿宋" w:cs="仿宋" w:eastAsia="仿宋" w:hAnsi="仿宋" w:hint="eastAsia"/>
          <w:b/>
          <w:bCs/>
          <w:i w:val="false"/>
          <w:snapToGrid/>
          <w:color w:val="333333"/>
          <w:spacing w:val="0"/>
          <w:sz w:val="32"/>
          <w:szCs w:val="32"/>
          <w:lang w:val="en-US" w:eastAsia="zh-CN"/>
        </w:rPr>
        <w:t>水利、环境和公共设施管理投资下拉严重</w:t>
      </w:r>
      <w:r>
        <w:rPr>
          <w:rFonts w:ascii="仿宋" w:cs="仿宋" w:eastAsia="仿宋" w:hAnsi="仿宋" w:hint="eastAsia"/>
          <w:b w:val="false"/>
          <w:bCs w:val="false"/>
          <w:i w:val="false"/>
          <w:snapToGrid/>
          <w:color w:val="333333"/>
          <w:spacing w:val="0"/>
          <w:sz w:val="32"/>
          <w:szCs w:val="32"/>
          <w:lang w:val="en-US" w:eastAsia="zh-CN"/>
        </w:rPr>
        <w:t>。1-9月，全</w:t>
      </w:r>
      <w:r>
        <w:rPr>
          <w:rFonts w:ascii="仿宋" w:cs="仿宋" w:eastAsia="仿宋" w:hAnsi="仿宋" w:hint="eastAsia"/>
          <w:b w:val="false"/>
          <w:i w:val="false"/>
          <w:snapToGrid/>
          <w:color w:val="333333"/>
          <w:spacing w:val="0"/>
          <w:sz w:val="32"/>
          <w:szCs w:val="32"/>
          <w:lang w:val="en-US" w:eastAsia="zh-CN"/>
        </w:rPr>
        <w:t>县水利、环境和公共设施管理项目项目完成投资同比下降84.6%，降幅比去年同期扩大133.9个百分点，占基础设施投资总量的1.3%，占全部固定资产投资比重仅为1.2%，下拉全县基础设施投资11.6个百分点，下拉全县固定资产投资10.9个百分点。二是</w:t>
      </w:r>
      <w:r>
        <w:rPr>
          <w:rFonts w:ascii="仿宋" w:cs="仿宋" w:eastAsia="仿宋" w:hAnsi="仿宋" w:hint="eastAsia"/>
          <w:b/>
          <w:bCs/>
          <w:i w:val="false"/>
          <w:snapToGrid/>
          <w:color w:val="333333"/>
          <w:spacing w:val="0"/>
          <w:sz w:val="32"/>
          <w:szCs w:val="32"/>
          <w:lang w:val="en-US" w:eastAsia="zh-CN"/>
        </w:rPr>
        <w:t>装备制造业设备投资周期过长。</w:t>
      </w:r>
      <w:r>
        <w:rPr>
          <w:rFonts w:ascii="仿宋" w:cs="仿宋" w:eastAsia="仿宋" w:hAnsi="仿宋" w:hint="eastAsia"/>
          <w:b w:val="false"/>
          <w:i w:val="false"/>
          <w:snapToGrid/>
          <w:color w:val="333333"/>
          <w:spacing w:val="0"/>
          <w:sz w:val="32"/>
          <w:szCs w:val="32"/>
          <w:lang w:val="en-US" w:eastAsia="zh-CN"/>
        </w:rPr>
        <w:t>1-9月，装备制造业共7个项目，计划总投资11.8508亿元，自开始累计完成投资1.8377亿元，本年完成投资0.8214亿元，投资完成率较低。其中，木垒庭州协能科技有限公司储能系统生产项目在2023年7月入库，计划投资0.1828亿元，属于设备购置项目，完成投资额0.0501亿元，因没有订单，设备没有调试，后期投资无法入统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rPr>
          <w:rFonts w:ascii="仿宋_GB2312" w:cs="仿宋_GB2312" w:eastAsia="仿宋_GB2312" w:hAnsi="仿宋_GB2312" w:hint="eastAsia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（二）消费市场增长仍存压力，部分行业仍然偏弱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。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煤炭及制品类</w:t>
      </w:r>
      <w:r>
        <w:rPr>
          <w:rFonts w:ascii="仿宋_GB2312" w:cs="仿宋_GB2312" w:eastAsia="仿宋_GB2312" w:hAnsi="仿宋_GB2312" w:hint="eastAsia"/>
          <w:b/>
          <w:bCs/>
          <w:kern w:val="0"/>
          <w:sz w:val="32"/>
          <w:szCs w:val="32"/>
          <w:highlight w:val="none"/>
          <w:lang w:val="en-US" w:eastAsia="zh-CN"/>
        </w:rPr>
        <w:t>销售下滑严重。</w:t>
      </w:r>
      <w:r>
        <w:rPr>
          <w:rFonts w:ascii="仿宋_GB2312" w:cs="仿宋_GB2312" w:eastAsia="仿宋_GB2312" w:hAnsi="仿宋_GB2312" w:hint="eastAsia"/>
          <w:kern w:val="0"/>
          <w:sz w:val="32"/>
          <w:szCs w:val="32"/>
          <w:highlight w:val="none"/>
          <w:lang w:val="en-US" w:eastAsia="zh-CN"/>
        </w:rPr>
        <w:t>受煤炭价格及煤炭市场处于传统淡季、进口煤量增加和关内煤矿增加以及新能源逐步替代煤炭资源等原</w:t>
      </w:r>
      <w:r>
        <w:rPr>
          <w:rFonts w:ascii="仿宋_GB2312" w:cs="仿宋_GB2312" w:eastAsia="仿宋_GB2312" w:hAnsi="仿宋_GB2312" w:hint="eastAsia"/>
          <w:sz w:val="32"/>
          <w:szCs w:val="32"/>
        </w:rPr>
        <w:t>因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，</w:t>
      </w: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eastAsia="zh-CN"/>
        </w:rPr>
        <w:t>新疆巨鹏隆泰商贸有限公司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9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12"/>
          <w:kern w:val="2"/>
          <w:sz w:val="32"/>
          <w:szCs w:val="32"/>
          <w:shd w:val="clear" w:color="auto" w:fill="ffffff"/>
          <w:lang w:val="en-US" w:bidi="ar-SA" w:eastAsia="zh-CN"/>
        </w:rPr>
        <w:t>月无订单，1-9月份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12"/>
          <w:sz w:val="32"/>
          <w:szCs w:val="32"/>
          <w:shd w:val="clear" w:color="auto" w:fill="ffffff"/>
        </w:rPr>
        <w:t>限额以上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12"/>
          <w:sz w:val="32"/>
          <w:szCs w:val="32"/>
          <w:shd w:val="clear" w:color="auto" w:fill="ffffff"/>
          <w:lang w:val="en-US" w:eastAsia="zh-CN"/>
        </w:rPr>
        <w:t>煤炭及制品类实现累计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12"/>
          <w:sz w:val="32"/>
          <w:szCs w:val="32"/>
          <w:shd w:val="clear" w:color="auto" w:fill="ffffff"/>
        </w:rPr>
        <w:t>销售额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12"/>
          <w:sz w:val="32"/>
          <w:szCs w:val="32"/>
          <w:shd w:val="clear" w:color="auto" w:fill="ffffff"/>
          <w:lang w:val="en-US" w:eastAsia="zh-CN"/>
        </w:rPr>
        <w:t>597.8万元，同比下降70.3%。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12"/>
          <w:sz w:val="32"/>
          <w:szCs w:val="32"/>
          <w:shd w:val="clear" w:color="auto" w:fill="ffffff"/>
        </w:rPr>
        <w:t>从企业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12"/>
          <w:sz w:val="32"/>
          <w:szCs w:val="32"/>
          <w:shd w:val="clear" w:color="auto" w:fill="ffffff"/>
          <w:lang w:val="en-US" w:eastAsia="zh-CN"/>
        </w:rPr>
        <w:t>当前销售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12"/>
          <w:sz w:val="32"/>
          <w:szCs w:val="32"/>
          <w:shd w:val="clear" w:color="auto" w:fill="ffffff"/>
        </w:rPr>
        <w:t>情况来看，预期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12"/>
          <w:sz w:val="32"/>
          <w:szCs w:val="32"/>
          <w:shd w:val="clear" w:color="auto" w:fill="ffffff"/>
          <w:lang w:val="en-US" w:eastAsia="zh-CN"/>
        </w:rPr>
        <w:t>第四季度煤炭及之品类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12"/>
          <w:sz w:val="32"/>
          <w:szCs w:val="32"/>
          <w:shd w:val="clear" w:color="auto" w:fill="ffffff"/>
        </w:rPr>
        <w:t>销售额增速转正压力依然较大</w:t>
      </w:r>
      <w:r>
        <w:rPr>
          <w:rFonts w:ascii="仿宋_GB2312" w:cs="仿宋_GB2312" w:eastAsia="仿宋_GB2312" w:hAnsi="仿宋_GB2312" w:hint="eastAsia"/>
          <w:i w:val="false"/>
          <w:caps w:val="false"/>
          <w:color w:val="333333"/>
          <w:spacing w:val="12"/>
          <w:sz w:val="32"/>
          <w:szCs w:val="32"/>
          <w:shd w:val="clear" w:color="auto" w:fill="ffffff"/>
          <w:lang w:eastAsia="zh-CN"/>
        </w:rPr>
        <w:t>。</w:t>
      </w:r>
      <w:r>
        <w:rPr>
          <w:rFonts w:ascii="仿宋_GB2312" w:cs="仿宋_GB2312" w:eastAsia="仿宋_GB2312" w:hAnsi="仿宋_GB2312" w:hint="eastAsia"/>
          <w:b/>
          <w:bCs/>
          <w:kern w:val="0"/>
          <w:sz w:val="32"/>
          <w:szCs w:val="32"/>
          <w:highlight w:val="none"/>
          <w:lang w:val="en-US" w:eastAsia="zh-CN"/>
        </w:rPr>
        <w:t>住餐市场活力偏低，企业培育仍需加力。</w:t>
      </w:r>
      <w:r>
        <w:rPr>
          <w:rFonts w:ascii="仿宋_GB2312" w:cs="仿宋_GB2312" w:eastAsia="仿宋_GB2312" w:hAnsi="仿宋_GB2312" w:hint="eastAsia"/>
          <w:kern w:val="0"/>
          <w:sz w:val="32"/>
          <w:szCs w:val="32"/>
          <w:highlight w:val="none"/>
          <w:lang w:val="en-US" w:eastAsia="zh-CN"/>
        </w:rPr>
        <w:t>2023年经济形势恢复向好，餐饮需求释放，“烟火气”回归，消费逐步红火，对今年而言造成基数较大，2024年随着居民外出就餐等活动减少，特别是商旅会议、婚宴订单减少，限上住餐业消费增长乏力。1-6月，全县限上住宿业营业额116.5万元，同比下降81.1%；限上餐费收入7.1万元，同比下降94.9%。9月，限额以上住宿餐饮业停业代报，无数据。</w:t>
      </w:r>
    </w:p>
    <w:p>
      <w:pPr>
        <w:pStyle w:val="style0"/>
        <w:numPr>
          <w:ilvl w:val="0"/>
          <w:numId w:val="1"/>
        </w:numPr>
        <w:ind w:left="0" w:leftChars="0" w:firstLine="643" w:firstLineChars="200"/>
        <w:jc w:val="both"/>
        <w:rPr>
          <w:rFonts w:ascii="黑体" w:cs="黑体" w:eastAsia="黑体" w:hAnsi="黑体" w:hint="eastAsia"/>
          <w:b/>
          <w:i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黑体" w:cs="黑体" w:eastAsia="黑体" w:hAnsi="黑体" w:hint="eastAsia"/>
          <w:b/>
          <w:i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下一步工作建议</w:t>
      </w:r>
    </w:p>
    <w:p>
      <w:pPr>
        <w:pStyle w:val="style0"/>
        <w:numPr>
          <w:ilvl w:val="0"/>
          <w:numId w:val="4"/>
        </w:numPr>
        <w:ind w:firstLine="619" w:firstLineChars="200"/>
        <w:jc w:val="both"/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仿宋_GB2312" w:hint="eastAsia"/>
          <w:b/>
          <w:i w:val="false"/>
          <w:caps w:val="false"/>
          <w:color w:val="000000"/>
          <w:spacing w:val="-6"/>
          <w:sz w:val="32"/>
          <w:szCs w:val="32"/>
          <w:shd w:val="clear" w:color="auto" w:fill="ffffff"/>
        </w:rPr>
        <w:t>各部门协调联动，确保</w:t>
      </w:r>
      <w:r>
        <w:rPr>
          <w:rFonts w:ascii="仿宋_GB2312" w:cs="仿宋_GB2312" w:eastAsia="仿宋_GB2312" w:hAnsi="仿宋_GB2312" w:hint="eastAsia"/>
          <w:b/>
          <w:i w:val="false"/>
          <w:caps w:val="false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一产</w:t>
      </w:r>
      <w:r>
        <w:rPr>
          <w:rFonts w:ascii="仿宋_GB2312" w:cs="仿宋_GB2312" w:eastAsia="仿宋_GB2312" w:hAnsi="仿宋_GB2312" w:hint="eastAsia"/>
          <w:b/>
          <w:i w:val="false"/>
          <w:caps w:val="false"/>
          <w:color w:val="000000"/>
          <w:spacing w:val="-6"/>
          <w:sz w:val="32"/>
          <w:szCs w:val="32"/>
          <w:shd w:val="clear" w:color="auto" w:fill="ffffff"/>
        </w:rPr>
        <w:t>稳定增长。一是加强农业基础设施建设。</w:t>
      </w:r>
      <w:r>
        <w:rPr>
          <w:rFonts w:ascii="仿宋_GB2312" w:cs="仿宋_GB2312" w:eastAsia="仿宋_GB2312" w:hAnsi="仿宋_GB2312" w:hint="eastAsia"/>
          <w:i w:val="false"/>
          <w:caps w:val="false"/>
          <w:color w:val="000000"/>
          <w:spacing w:val="-6"/>
          <w:sz w:val="32"/>
          <w:szCs w:val="32"/>
          <w:shd w:val="clear" w:color="auto" w:fill="ffffff"/>
        </w:rPr>
        <w:t>加大对农田水利、道路交通等基础设施的投入，改善农业生产条件，提高农业抗灾能力和生产效率。</w:t>
      </w:r>
      <w:r>
        <w:rPr>
          <w:rFonts w:ascii="仿宋_GB2312" w:cs="仿宋_GB2312" w:eastAsia="仿宋_GB2312" w:hAnsi="仿宋_GB2312" w:hint="eastAsia"/>
          <w:b/>
          <w:i w:val="false"/>
          <w:caps w:val="false"/>
          <w:color w:val="000000"/>
          <w:spacing w:val="-6"/>
          <w:sz w:val="32"/>
          <w:szCs w:val="32"/>
          <w:shd w:val="clear" w:color="auto" w:fill="ffffff"/>
        </w:rPr>
        <w:t>二是加强农业产业化经营。</w:t>
      </w:r>
      <w:r>
        <w:rPr>
          <w:rFonts w:ascii="仿宋_GB2312" w:cs="仿宋_GB2312" w:eastAsia="仿宋_GB2312" w:hAnsi="仿宋_GB2312" w:hint="eastAsia"/>
          <w:i w:val="false"/>
          <w:caps w:val="false"/>
          <w:color w:val="000000"/>
          <w:spacing w:val="-6"/>
          <w:sz w:val="32"/>
          <w:szCs w:val="32"/>
          <w:shd w:val="clear" w:color="auto" w:fill="ffffff"/>
        </w:rPr>
        <w:t>扶持农业龙头企业、农民专业合作社等新型农业经营主体，促进农业规模化、标准化生产，提高农业产业化水平。</w:t>
      </w:r>
      <w:r>
        <w:rPr>
          <w:rFonts w:ascii="仿宋_GB2312" w:cs="仿宋_GB2312" w:eastAsia="仿宋_GB2312" w:hAnsi="仿宋_GB2312" w:hint="eastAsia"/>
          <w:b/>
          <w:bCs/>
          <w:i w:val="false"/>
          <w:caps w:val="false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三抓好牲畜存出栏工作。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目前，全县秋收、冬小麦种植等工作已经结束，秋粮应收尽收、颗料归仓，秋冬播种应种尽种、面积稳定。牲畜养殖在气候的影响下，马上进入冬季育肥阶段，相关部门要协调联动，积极引导养殖户在出栏的同时做好冬季存栏育肥工作，为春节、元旦牲畜出栏提供打好基础。要稳定畜牧业基础产能，做强化畜群结构，加快畜牧业转型升级。</w:t>
      </w:r>
    </w:p>
    <w:p>
      <w:pPr>
        <w:pStyle w:val="style0"/>
        <w:numPr>
          <w:ilvl w:val="0"/>
          <w:numId w:val="4"/>
        </w:numPr>
        <w:ind w:firstLine="619" w:firstLineChars="200"/>
        <w:jc w:val="both"/>
        <w:rPr>
          <w:rFonts w:ascii="仿宋_GB2312" w:cs="仿宋_GB2312" w:eastAsia="仿宋_GB2312" w:hAnsi="仿宋_GB2312" w:hint="eastAsia"/>
          <w:b w:val="false"/>
          <w:bCs/>
          <w:i w:val="false"/>
          <w:iCs w:val="false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ascii="仿宋_GB2312" w:cs="仿宋_GB2312" w:eastAsia="仿宋_GB2312" w:hAnsi="仿宋_GB2312" w:hint="eastAsia"/>
          <w:b/>
          <w:bCs w:val="false"/>
          <w:i w:val="false"/>
          <w:caps w:val="false"/>
          <w:color w:val="000000"/>
          <w:spacing w:val="-6"/>
          <w:sz w:val="32"/>
          <w:szCs w:val="32"/>
          <w:shd w:val="clear" w:color="auto" w:fill="ffffff"/>
        </w:rPr>
        <w:t>强化服务协调，释放</w:t>
      </w:r>
      <w:r>
        <w:rPr>
          <w:rFonts w:ascii="仿宋_GB2312" w:cs="仿宋_GB2312" w:eastAsia="仿宋_GB2312" w:hAnsi="仿宋_GB2312" w:hint="eastAsia"/>
          <w:b/>
          <w:bCs w:val="false"/>
          <w:i w:val="false"/>
          <w:caps w:val="false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二产</w:t>
      </w:r>
      <w:r>
        <w:rPr>
          <w:rFonts w:ascii="仿宋_GB2312" w:cs="仿宋_GB2312" w:eastAsia="仿宋_GB2312" w:hAnsi="仿宋_GB2312" w:hint="eastAsia"/>
          <w:b/>
          <w:bCs w:val="false"/>
          <w:i w:val="false"/>
          <w:caps w:val="false"/>
          <w:color w:val="000000"/>
          <w:spacing w:val="-6"/>
          <w:sz w:val="32"/>
          <w:szCs w:val="32"/>
          <w:shd w:val="clear" w:color="auto" w:fill="ffffff"/>
        </w:rPr>
        <w:t>发展潜力</w:t>
      </w:r>
      <w:r>
        <w:rPr>
          <w:rFonts w:ascii="仿宋_GB2312" w:cs="仿宋_GB2312" w:eastAsia="仿宋_GB2312" w:hAnsi="仿宋_GB2312" w:hint="eastAsia"/>
          <w:b/>
          <w:bCs w:val="false"/>
          <w:i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工业要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000000"/>
          <w:spacing w:val="-6"/>
          <w:sz w:val="32"/>
          <w:szCs w:val="32"/>
          <w:shd w:val="clear" w:color="auto" w:fill="ffffff"/>
        </w:rPr>
        <w:t>聚焦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全年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000000"/>
          <w:spacing w:val="-6"/>
          <w:sz w:val="32"/>
          <w:szCs w:val="32"/>
          <w:shd w:val="clear" w:color="auto" w:fill="ffffff"/>
        </w:rPr>
        <w:t>规上工业增加值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27.5亿元，增长19%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000000"/>
          <w:spacing w:val="-6"/>
          <w:sz w:val="32"/>
          <w:szCs w:val="32"/>
          <w:shd w:val="clear" w:color="auto" w:fill="ffffff"/>
        </w:rPr>
        <w:t>目标任务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000000"/>
          <w:spacing w:val="-6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继续加大释放</w:t>
      </w:r>
      <w:r>
        <w:rPr>
          <w:rFonts w:ascii="仿宋_GB2312" w:cs="仿宋_GB2312" w:eastAsia="仿宋_GB2312" w:hAnsi="仿宋_GB2312" w:hint="eastAsia"/>
          <w:b w:val="false"/>
          <w:bCs/>
          <w:color w:val="auto"/>
          <w:kern w:val="2"/>
          <w:sz w:val="32"/>
          <w:szCs w:val="32"/>
          <w:highlight w:val="none"/>
          <w:lang w:val="en-US" w:eastAsia="zh-CN"/>
        </w:rPr>
        <w:t>电力、热力生产供应业和</w:t>
      </w:r>
      <w:r>
        <w:rPr>
          <w:rFonts w:ascii="仿宋_GB2312" w:cs="仿宋_GB2312" w:eastAsia="仿宋_GB2312" w:hAnsi="仿宋_GB2312" w:hint="eastAsia"/>
          <w:b w:val="false"/>
          <w:bCs/>
          <w:i w:val="false"/>
          <w:iCs w:val="false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电气机械和器材制造业产能 ，保持两大行业平稳增长。相关部门要充分发挥主体责任，协助企业争订单、拓市场、解难题，全力保住工业增加值稳步增长。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000000"/>
          <w:spacing w:val="-6"/>
          <w:sz w:val="32"/>
          <w:szCs w:val="32"/>
          <w:shd w:val="clear" w:color="auto" w:fill="ffffff"/>
        </w:rPr>
        <w:t>着力抓好企业升规入统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000000"/>
          <w:spacing w:val="-6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000000"/>
          <w:spacing w:val="-6"/>
          <w:sz w:val="32"/>
          <w:szCs w:val="32"/>
          <w:shd w:val="clear" w:color="auto" w:fill="ffffff"/>
        </w:rPr>
        <w:t>重点抓好家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全县“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000000"/>
          <w:spacing w:val="-6"/>
          <w:sz w:val="32"/>
          <w:szCs w:val="32"/>
          <w:shd w:val="clear" w:color="auto" w:fill="ffffff"/>
        </w:rPr>
        <w:t>小升规”培育工作，有效奠定工业经济发展基础。</w:t>
      </w:r>
      <w:r>
        <w:rPr>
          <w:rFonts w:ascii="仿宋_GB2312" w:cs="仿宋_GB2312" w:eastAsia="仿宋_GB2312" w:hAnsi="仿宋_GB2312" w:hint="eastAsia"/>
          <w:b w:val="false"/>
          <w:bCs/>
          <w:i w:val="false"/>
          <w:iCs w:val="false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建筑业要抓好固定资产投资中的建安工程和建筑业总产值，缩小房地产开发投资下降幅度。</w:t>
      </w:r>
    </w:p>
    <w:p>
      <w:pPr>
        <w:pStyle w:val="style0"/>
        <w:numPr>
          <w:ilvl w:val="0"/>
          <w:numId w:val="4"/>
        </w:numPr>
        <w:ind w:firstLine="619" w:firstLineChars="200"/>
        <w:jc w:val="both"/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000000"/>
          <w:spacing w:val="0"/>
          <w:sz w:val="32"/>
          <w:szCs w:val="32"/>
        </w:rPr>
      </w:pPr>
      <w:r>
        <w:rPr>
          <w:rFonts w:ascii="仿宋_GB2312" w:cs="仿宋_GB2312" w:eastAsia="仿宋_GB2312" w:hAnsi="仿宋_GB2312" w:hint="eastAsia"/>
          <w:b/>
          <w:bCs w:val="false"/>
          <w:i w:val="false"/>
          <w:caps w:val="false"/>
          <w:color w:val="000000"/>
          <w:spacing w:val="-6"/>
          <w:sz w:val="32"/>
          <w:szCs w:val="32"/>
          <w:shd w:val="clear" w:color="auto" w:fill="ffffff"/>
        </w:rPr>
        <w:t>培育消费场景，助推三产发展。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000000"/>
          <w:spacing w:val="-6"/>
          <w:sz w:val="32"/>
          <w:szCs w:val="32"/>
          <w:shd w:val="clear" w:color="auto" w:fill="ffffff"/>
        </w:rPr>
        <w:t>聚焦下半年社会消费品零售总额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11.7亿元，增长9.5%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000000"/>
          <w:spacing w:val="-6"/>
          <w:sz w:val="32"/>
          <w:szCs w:val="32"/>
          <w:shd w:val="clear" w:color="auto" w:fill="ffffff"/>
        </w:rPr>
        <w:t>目标任务。 一是落实支持政策积极扩大消费。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加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000000"/>
          <w:spacing w:val="-6"/>
          <w:sz w:val="32"/>
          <w:szCs w:val="32"/>
          <w:shd w:val="clear" w:color="auto" w:fill="ffffff"/>
        </w:rPr>
        <w:t>大消费品以旧换新等领域项目谋划储备，加大住房和家电以旧换新、汽车报废更新等政策宣传力度，全力刺激换新消费。二是持续优化消费环境。持续旅游开发等消费场景建设，创新服务消费供给，促进商品消费、服务消费等多业态融合发展，让居民敢消费、愿消费、乐享高品质消费，推动消费市场持续升温。 </w:t>
      </w:r>
    </w:p>
    <w:p>
      <w:pPr>
        <w:pStyle w:val="style0"/>
        <w:numPr>
          <w:ilvl w:val="0"/>
          <w:numId w:val="4"/>
        </w:numPr>
        <w:ind w:firstLine="619" w:firstLineChars="200"/>
        <w:jc w:val="both"/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000000"/>
          <w:spacing w:val="0"/>
          <w:sz w:val="32"/>
          <w:szCs w:val="32"/>
        </w:rPr>
      </w:pPr>
      <w:r>
        <w:rPr>
          <w:rFonts w:ascii="仿宋_GB2312" w:cs="仿宋_GB2312" w:eastAsia="仿宋_GB2312" w:hAnsi="仿宋_GB2312" w:hint="eastAsia"/>
          <w:b/>
          <w:bCs w:val="false"/>
          <w:i w:val="false"/>
          <w:caps w:val="false"/>
          <w:color w:val="000000"/>
          <w:spacing w:val="-6"/>
          <w:sz w:val="32"/>
          <w:szCs w:val="32"/>
          <w:shd w:val="clear" w:color="auto" w:fill="ffffff"/>
        </w:rPr>
        <w:t>抓紧抓实项目建设与谋划，扩大</w:t>
      </w:r>
      <w:r>
        <w:rPr>
          <w:rFonts w:ascii="仿宋_GB2312" w:cs="仿宋_GB2312" w:eastAsia="仿宋_GB2312" w:hAnsi="仿宋_GB2312" w:hint="eastAsia"/>
          <w:b/>
          <w:bCs w:val="false"/>
          <w:i w:val="false"/>
          <w:caps w:val="false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部分行业</w:t>
      </w:r>
      <w:r>
        <w:rPr>
          <w:rFonts w:ascii="仿宋_GB2312" w:cs="仿宋_GB2312" w:eastAsia="仿宋_GB2312" w:hAnsi="仿宋_GB2312" w:hint="eastAsia"/>
          <w:b/>
          <w:bCs w:val="false"/>
          <w:i w:val="false"/>
          <w:caps w:val="false"/>
          <w:color w:val="000000"/>
          <w:spacing w:val="-6"/>
          <w:sz w:val="32"/>
          <w:szCs w:val="32"/>
          <w:shd w:val="clear" w:color="auto" w:fill="ffffff"/>
        </w:rPr>
        <w:t>有效投资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000000"/>
          <w:spacing w:val="-6"/>
          <w:sz w:val="32"/>
          <w:szCs w:val="32"/>
          <w:shd w:val="clear" w:color="auto" w:fill="ffffff"/>
        </w:rPr>
        <w:t>。</w:t>
      </w:r>
      <w:r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针对固定资产投资部分行业下降或者空白的情况，相关部门要及时分析、研判，进一步补短板、强弱项，扩大行业有效投资。</w:t>
      </w:r>
    </w:p>
    <w:p>
      <w:pPr>
        <w:pStyle w:val="style2"/>
        <w:ind w:firstLine="360"/>
        <w:rPr>
          <w:rFonts w:ascii="仿宋_GB2312" w:cs="仿宋_GB2312" w:eastAsia="仿宋_GB2312" w:hAnsi="仿宋_GB2312" w:hint="eastAsia"/>
          <w:b w:val="false"/>
          <w:bCs/>
          <w:sz w:val="32"/>
          <w:szCs w:val="32"/>
        </w:rPr>
      </w:pPr>
    </w:p>
    <w:p>
      <w:pPr>
        <w:pStyle w:val="style94"/>
        <w:keepNext w:val="false"/>
        <w:keepLines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tLeast" w:line="375"/>
        <w:ind w:right="0" w:rightChars="0"/>
        <w:jc w:val="both"/>
        <w:rPr>
          <w:rFonts w:ascii="仿宋_GB2312" w:cs="仿宋_GB2312" w:eastAsia="仿宋_GB2312" w:hAnsi="仿宋_GB2312" w:hint="eastAsia"/>
          <w:b w:val="false"/>
          <w:bCs/>
          <w:i w:val="false"/>
          <w:caps w:val="false"/>
          <w:color w:val="ff0000"/>
          <w:spacing w:val="0"/>
          <w:sz w:val="32"/>
          <w:szCs w:val="32"/>
          <w:shd w:val="clear" w:color="auto" w:fill="ffffff"/>
        </w:rPr>
      </w:pPr>
    </w:p>
    <w:p>
      <w:pPr>
        <w:pStyle w:val="style0"/>
        <w:rPr>
          <w:rFonts w:ascii="仿宋_GB2312" w:cs="仿宋_GB2312" w:eastAsia="仿宋_GB2312" w:hAnsi="仿宋_GB2312" w:hint="eastAsia"/>
          <w:b w:val="false"/>
          <w:bCs/>
          <w:color w:val="ff0000"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A644C9D"/>
    <w:lvl w:ilvl="0">
      <w:start w:val="4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  <w:b/>
        <w:bCs/>
      </w:rPr>
    </w:lvl>
  </w:abstractNum>
  <w:abstractNum w:abstractNumId="1">
    <w:nsid w:val="00000001"/>
    <w:multiLevelType w:val="singleLevel"/>
    <w:tmpl w:val="A2E7785F"/>
    <w:lvl w:ilvl="0">
      <w:start w:val="1"/>
      <w:numFmt w:val="chineseCounting"/>
      <w:suff w:val="nothing"/>
      <w:lvlText w:val="（%1）"/>
      <w:lvlJc w:val="left"/>
      <w:pPr/>
      <w:rPr>
        <w:rFonts w:hint="eastAsia"/>
        <w:b/>
        <w:bCs/>
      </w:rPr>
    </w:lvl>
  </w:abstractNum>
  <w:abstractNum w:abstractNumId="2">
    <w:nsid w:val="00000002"/>
    <w:multiLevelType w:val="singleLevel"/>
    <w:tmpl w:val="3B5547EB"/>
    <w:lvl w:ilvl="0">
      <w:start w:val="1"/>
      <w:numFmt w:val="chineseCounting"/>
      <w:suff w:val="nothing"/>
      <w:lvlText w:val="（%1）"/>
      <w:lvlJc w:val="left"/>
      <w:pPr/>
      <w:rPr>
        <w:rFonts w:hint="eastAsia"/>
      </w:rPr>
    </w:lvl>
  </w:abstractNum>
  <w:abstractNum w:abstractNumId="3">
    <w:nsid w:val="00000003"/>
    <w:multiLevelType w:val="singleLevel"/>
    <w:tmpl w:val="7B84DD5A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78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1"/>
      <w:lang w:val="en-US" w:bidi="ar-SA" w:eastAsia="zh-CN"/>
    </w:rPr>
  </w:style>
  <w:style w:type="paragraph" w:styleId="style2">
    <w:name w:val="heading 2"/>
    <w:basedOn w:val="style0"/>
    <w:next w:val="style0"/>
    <w:qFormat/>
    <w:uiPriority w:val="0"/>
    <w:pPr>
      <w:spacing w:lineRule="atLeast" w:line="289"/>
      <w:jc w:val="center"/>
      <w:textAlignment w:val="baseline"/>
      <w:outlineLvl w:val="1"/>
    </w:pPr>
    <w:rPr>
      <w:rFonts w:ascii="Times New Roman" w:cs="Times New Roman" w:eastAsia="宋体" w:hAnsi="Times New Roman"/>
      <w:color w:val="000000"/>
      <w:sz w:val="28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8">
    <w:name w:val="Body Text First Indent 2"/>
    <w:basedOn w:val="style67"/>
    <w:next w:val="style4097"/>
    <w:qFormat/>
    <w:uiPriority w:val="0"/>
    <w:pPr>
      <w:spacing w:before="100" w:beforeAutospacing="true" w:after="0" w:lineRule="exact" w:line="520"/>
      <w:ind w:left="0" w:leftChars="0" w:firstLine="420" w:firstLineChars="200"/>
    </w:pPr>
    <w:rPr>
      <w:rFonts w:ascii="Times New Roman" w:eastAsia="楷体_GB2312" w:hAnsi="Times New Roman"/>
      <w:b/>
      <w:bCs/>
      <w:color w:val="000000"/>
      <w:spacing w:val="4"/>
      <w:sz w:val="32"/>
      <w:szCs w:val="32"/>
    </w:rPr>
  </w:style>
  <w:style w:type="paragraph" w:styleId="style67">
    <w:name w:val="Body Text Indent"/>
    <w:basedOn w:val="style0"/>
    <w:next w:val="style67"/>
    <w:qFormat/>
    <w:uiPriority w:val="0"/>
    <w:pPr>
      <w:spacing w:after="120"/>
      <w:ind w:left="420" w:leftChars="200"/>
    </w:pPr>
    <w:rPr/>
  </w:style>
  <w:style w:type="paragraph" w:customStyle="1" w:styleId="style4097">
    <w:name w:val="0"/>
    <w:basedOn w:val="style0"/>
    <w:next w:val="style89"/>
    <w:qFormat/>
    <w:uiPriority w:val="0"/>
    <w:pPr>
      <w:widowControl/>
      <w:spacing w:lineRule="atLeast" w:line="365"/>
      <w:ind w:left="1"/>
    </w:pPr>
    <w:rPr>
      <w:kern w:val="0"/>
      <w:sz w:val="20"/>
      <w:szCs w:val="20"/>
    </w:rPr>
  </w:style>
  <w:style w:type="paragraph" w:styleId="style89">
    <w:name w:val="Document Map"/>
    <w:basedOn w:val="style0"/>
    <w:next w:val="style89"/>
    <w:qFormat/>
    <w:uiPriority w:val="0"/>
    <w:pPr>
      <w:shd w:val="clear" w:color="auto" w:fill="000080"/>
    </w:pPr>
    <w:rPr/>
  </w:style>
  <w:style w:type="paragraph" w:styleId="style66">
    <w:name w:val="Body Text"/>
    <w:basedOn w:val="style0"/>
    <w:next w:val="style0"/>
    <w:qFormat/>
    <w:uiPriority w:val="99"/>
    <w:pPr>
      <w:spacing w:after="120"/>
    </w:pPr>
    <w:rPr/>
  </w:style>
  <w:style w:type="paragraph" w:styleId="style94">
    <w:name w:val="Normal (Web)"/>
    <w:basedOn w:val="style0"/>
    <w:next w:val="style94"/>
    <w:qFormat/>
    <w:uiPriority w:val="0"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spacing w:before="0" w:beforeAutospacing="false" w:after="0" w:afterAutospacing="false"/>
      <w:ind w:left="0" w:right="0"/>
      <w:jc w:val="left"/>
    </w:pPr>
    <w:rPr>
      <w:kern w:val="0"/>
      <w:sz w:val="24"/>
      <w:lang w:val="en-US" w:eastAsia="zh-CN"/>
    </w:rPr>
  </w:style>
  <w:style w:type="paragraph" w:styleId="style77">
    <w:name w:val="Body Text First Indent"/>
    <w:basedOn w:val="style66"/>
    <w:next w:val="style0"/>
    <w:qFormat/>
    <w:uiPriority w:val="99"/>
    <w:pPr>
      <w:ind w:firstLine="420" w:firstLineChars="100"/>
    </w:pPr>
    <w:rPr/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character" w:customStyle="1" w:styleId="style4098">
    <w:name w:val="NormalCharacter"/>
    <w:next w:val="style4098"/>
    <w:qFormat/>
    <w:uiPriority w:val="0"/>
    <w:rPr>
      <w:kern w:val="2"/>
      <w:sz w:val="21"/>
      <w:szCs w:val="24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styles" Target="styles.xml"/><Relationship Id="rId10" Type="http://schemas.openxmlformats.org/officeDocument/2006/relationships/image" Target="media/image4.png"/><Relationship Id="rId13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chart" Target="charts/chart1.xml"/><Relationship Id="rId9" Type="http://schemas.openxmlformats.org/officeDocument/2006/relationships/oleObject" Target="embeddings/oleObject1.bin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chart" Target="charts/chart4.xml"/><Relationship Id="rId8" Type="http://schemas.openxmlformats.org/officeDocument/2006/relationships/image" Target="media/image3.png"/>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oleObject" TargetMode="External" Target="file:/C:/Users/user/Desktop/&#31038;&#28040;&#38646;&#25240;&#32447;&#22270;1.xlsx"/><Relationship Id="rId2" Type="http://schemas.microsoft.com/office/2011/relationships/chartStyle" Target="style4.xml"/><Relationship Id="rId3" Type="http://schemas.microsoft.com/office/2011/relationships/chartColorStyle" Target="colors4.xml"/>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oleObject" TargetMode="External" Target="&#24037;&#20316;&#31807;1"/><Relationship Id="rId2" Type="http://schemas.microsoft.com/office/2011/relationships/chartStyle" Target="style2.xml"/><Relationship Id="rId3" Type="http://schemas.microsoft.com/office/2011/relationships/chartColorStyle" Target="colors2.xml"/>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oleObject" TargetMode="External" Target="file:/C:/Users/user/Desktop/&#31038;&#28040;&#38646;&#25240;&#32447;&#22270;1%20-%20&#21103;&#26412;.xlsx"/><Relationship Id="rId2" Type="http://schemas.microsoft.com/office/2011/relationships/chartStyle" Target="style1.xml"/><Relationship Id="rId3" Type="http://schemas.microsoft.com/office/2011/relationships/chartColorStyle" Target="colors1.xml"/>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oleObject" TargetMode="External" Target="file:/C:/Users/user/Desktop/&#31038;&#28040;&#38646;&#25240;&#32447;&#22270;1%20-%20&#21103;&#26412;.xlsx"/><Relationship Id="rId2" Type="http://schemas.microsoft.com/office/2011/relationships/chartStyle" Target="style3.xml"/><Relationship Id="rId3" Type="http://schemas.microsoft.com/office/2011/relationships/chartColorStyle" Target="colors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t" anchorCtr="0"/>
          <a:lstStyle/>
          <a:p>
            <a:pPr defTabSz="914400">
              <a:defRPr lang="zh-CN"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>
                <a:solidFill>
                  <a:schemeClr val="tx1"/>
                </a:solidFill>
              </a:rPr>
              <a:t>规模以上工业增加值增速（</a:t>
            </a:r>
            <a:r>
              <a:rPr lang="en-US" altLang="zh-CN">
                <a:solidFill>
                  <a:schemeClr val="tx1"/>
                </a:solidFill>
              </a:rPr>
              <a:t>%</a:t>
            </a:r>
            <a:r>
              <a:rPr>
                <a:solidFill>
                  <a:schemeClr val="tx1"/>
                </a:solidFill>
              </a:rPr>
              <a:t>）</a:t>
            </a:r>
            <a:endParaRPr>
              <a:solidFill>
                <a:schemeClr val="tx1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[社消零折线图1.xlsx]Sheet1!$H$4</c:f>
              <c:strCache>
                <c:ptCount val="1"/>
                <c:pt idx="0">
                  <c:v>当月增速</c:v>
                </c:pt>
              </c:strCache>
            </c:strRef>
          </c:tx>
          <c:spPr>
            <a:ln w="15875" cap="rnd">
              <a:solidFill>
                <a:srgbClr val="FF0000"/>
              </a:solidFill>
              <a:prstDash val="sysDash"/>
              <a:round/>
              <a:headEnd type="none"/>
              <a:tailEnd type="none"/>
            </a:ln>
            <a:effectLst/>
            <a:sp3d contourW="15875"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dLbls>
            <c:delete val="1"/>
          </c:dLbls>
          <c:cat>
            <c:strRef>
              <c:f>[社消零折线图1.xlsx]Sheet1!$G$5:$G$16</c:f>
              <c:strCache>
                <c:ptCount val="12"/>
                <c:pt idx="0">
                  <c:v>2023年
9月</c:v>
                </c:pt>
                <c:pt idx="1">
                  <c:v>10月</c:v>
                </c:pt>
                <c:pt idx="2">
                  <c:v>11月</c:v>
                </c:pt>
                <c:pt idx="3">
                  <c:v>12月</c:v>
                </c:pt>
                <c:pt idx="4">
                  <c:v>2024年
1-2月</c:v>
                </c:pt>
                <c:pt idx="5">
                  <c:v>3月</c:v>
                </c:pt>
                <c:pt idx="6">
                  <c:v>4月</c:v>
                </c:pt>
                <c:pt idx="7">
                  <c:v>5月</c:v>
                </c:pt>
                <c:pt idx="8">
                  <c:v>6月</c:v>
                </c:pt>
                <c:pt idx="9">
                  <c:v>7月</c:v>
                </c:pt>
                <c:pt idx="10">
                  <c:v>8月</c:v>
                </c:pt>
                <c:pt idx="11">
                  <c:v>9月</c:v>
                </c:pt>
              </c:strCache>
            </c:strRef>
          </c:cat>
          <c:val>
            <c:numRef>
              <c:f>[社消零折线图1.xlsx]Sheet1!$H$5:$H$16</c:f>
              <c:numCache>
                <c:formatCode>General</c:formatCode>
                <c:ptCount val="12"/>
                <c:pt idx="0">
                  <c:v>39.7</c:v>
                </c:pt>
                <c:pt idx="1">
                  <c:v>33.4</c:v>
                </c:pt>
                <c:pt idx="2">
                  <c:v>22.7</c:v>
                </c:pt>
                <c:pt idx="3">
                  <c:v>56.5</c:v>
                </c:pt>
                <c:pt idx="4">
                  <c:v>23.6</c:v>
                </c:pt>
                <c:pt idx="5">
                  <c:v>21.3</c:v>
                </c:pt>
                <c:pt idx="6">
                  <c:v>25.7</c:v>
                </c:pt>
                <c:pt idx="7">
                  <c:v>21.5</c:v>
                </c:pt>
                <c:pt idx="8">
                  <c:v>90.4</c:v>
                </c:pt>
                <c:pt idx="9">
                  <c:v>41.8</c:v>
                </c:pt>
                <c:pt idx="10">
                  <c:v>15.3</c:v>
                </c:pt>
                <c:pt idx="11">
                  <c:v>101.4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[社消零折线图1.xlsx]Sheet1!$I$4</c:f>
              <c:strCache>
                <c:ptCount val="1"/>
                <c:pt idx="0">
                  <c:v>累计增速</c:v>
                </c:pt>
              </c:strCache>
            </c:strRef>
          </c:tx>
          <c:spPr>
            <a:ln w="15875" cap="rnd">
              <a:solidFill>
                <a:srgbClr val="1E80FA"/>
              </a:solidFill>
              <a:round/>
              <a:headEnd type="none"/>
              <a:tailEnd type="none"/>
            </a:ln>
            <a:effectLst/>
            <a:sp3d contourW="15875"/>
          </c:spPr>
          <c:marker>
            <c:symbol val="triangle"/>
            <c:size val="5"/>
            <c:spPr>
              <a:solidFill>
                <a:schemeClr val="accent1">
                  <a:lumMod val="75000"/>
                </a:schemeClr>
              </a:solidFill>
              <a:ln w="9525">
                <a:solidFill>
                  <a:schemeClr val="accent1">
                    <a:lumMod val="75000"/>
                  </a:schemeClr>
                </a:solidFill>
              </a:ln>
              <a:effectLst/>
            </c:spPr>
          </c:marker>
          <c:dLbls>
            <c:delete val="1"/>
          </c:dLbls>
          <c:cat>
            <c:strRef>
              <c:f>[社消零折线图1.xlsx]Sheet1!$G$5:$G$16</c:f>
              <c:strCache>
                <c:ptCount val="12"/>
                <c:pt idx="0">
                  <c:v>2023年
9月</c:v>
                </c:pt>
                <c:pt idx="1">
                  <c:v>10月</c:v>
                </c:pt>
                <c:pt idx="2">
                  <c:v>11月</c:v>
                </c:pt>
                <c:pt idx="3">
                  <c:v>12月</c:v>
                </c:pt>
                <c:pt idx="4">
                  <c:v>2024年
1-2月</c:v>
                </c:pt>
                <c:pt idx="5">
                  <c:v>3月</c:v>
                </c:pt>
                <c:pt idx="6">
                  <c:v>4月</c:v>
                </c:pt>
                <c:pt idx="7">
                  <c:v>5月</c:v>
                </c:pt>
                <c:pt idx="8">
                  <c:v>6月</c:v>
                </c:pt>
                <c:pt idx="9">
                  <c:v>7月</c:v>
                </c:pt>
                <c:pt idx="10">
                  <c:v>8月</c:v>
                </c:pt>
                <c:pt idx="11">
                  <c:v>9月</c:v>
                </c:pt>
              </c:strCache>
            </c:strRef>
          </c:cat>
          <c:val>
            <c:numRef>
              <c:f>[社消零折线图1.xlsx]Sheet1!$I$5:$I$16</c:f>
              <c:numCache>
                <c:formatCode>General</c:formatCode>
                <c:ptCount val="12"/>
                <c:pt idx="0">
                  <c:v>5.6</c:v>
                </c:pt>
                <c:pt idx="1">
                  <c:v>9.2</c:v>
                </c:pt>
                <c:pt idx="2">
                  <c:v>13.7</c:v>
                </c:pt>
                <c:pt idx="3">
                  <c:v>13.8</c:v>
                </c:pt>
                <c:pt idx="4">
                  <c:v>28.9</c:v>
                </c:pt>
                <c:pt idx="5">
                  <c:v>23.9</c:v>
                </c:pt>
                <c:pt idx="6">
                  <c:v>27.4</c:v>
                </c:pt>
                <c:pt idx="7">
                  <c:v>23.4</c:v>
                </c:pt>
                <c:pt idx="8">
                  <c:v>35.1</c:v>
                </c:pt>
                <c:pt idx="9">
                  <c:v>35.1</c:v>
                </c:pt>
                <c:pt idx="10">
                  <c:v>30.5</c:v>
                </c:pt>
                <c:pt idx="11">
                  <c:v>38.7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437632"/>
        <c:axId val="956134381"/>
      </c:lineChart>
      <c:catAx>
        <c:axId val="154437632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56134381"/>
        <c:crosses val="autoZero"/>
        <c:auto val="1"/>
        <c:lblAlgn val="ctr"/>
        <c:lblOffset val="100"/>
        <c:noMultiLvlLbl val="0"/>
      </c:catAx>
      <c:valAx>
        <c:axId val="956134381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54437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t>木垒县</a:t>
            </a:r>
            <a:r>
              <a:rPr lang="en-US" altLang="zh-CN"/>
              <a:t>2024</a:t>
            </a:r>
            <a:r>
              <a:rPr altLang="en-US"/>
              <a:t>年</a:t>
            </a:r>
            <a:r>
              <a:t>固定资产投资增速情况</a:t>
            </a:r>
          </a:p>
        </c:rich>
      </c:tx>
      <c:layout>
        <c:manualLayout>
          <c:xMode val="edge"/>
          <c:yMode val="edge"/>
          <c:x val="0.0991666666666667"/>
          <c:y val="0.0069444444444444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[工作簿1]Sheet1!$A$1:$H$1</c:f>
              <c:strCache>
                <c:ptCount val="8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</c:strCache>
            </c:strRef>
          </c:cat>
          <c:val>
            <c:numRef>
              <c:f>[工作簿1]Sheet1!$A$2:$H$2</c:f>
              <c:numCache>
                <c:formatCode>General</c:formatCode>
                <c:ptCount val="8"/>
                <c:pt idx="0">
                  <c:v>17.1</c:v>
                </c:pt>
                <c:pt idx="1">
                  <c:v>18.8</c:v>
                </c:pt>
                <c:pt idx="2">
                  <c:v>20.4</c:v>
                </c:pt>
                <c:pt idx="3">
                  <c:v>45.3</c:v>
                </c:pt>
                <c:pt idx="4">
                  <c:v>50.7</c:v>
                </c:pt>
                <c:pt idx="5">
                  <c:v>60.1</c:v>
                </c:pt>
                <c:pt idx="6">
                  <c:v>61.6</c:v>
                </c:pt>
                <c:pt idx="7">
                  <c:v>61.8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806468912"/>
        <c:axId val="996431718"/>
      </c:lineChart>
      <c:catAx>
        <c:axId val="80646891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</a:p>
        </c:txPr>
        <c:crossAx val="996431718"/>
        <c:crosses val="autoZero"/>
        <c:auto val="1"/>
        <c:lblAlgn val="ctr"/>
        <c:lblOffset val="100"/>
        <c:noMultiLvlLbl val="0"/>
      </c:catAx>
      <c:valAx>
        <c:axId val="99643171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</a:p>
        </c:txPr>
        <c:crossAx val="806468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t" anchorCtr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>
                <a:solidFill>
                  <a:sysClr val="windowText" lastClr="000000"/>
                </a:solidFill>
              </a:rPr>
              <a:t>全县与全州社会消费品零售总额累计增速对比</a:t>
            </a:r>
            <a:endParaRPr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'[社消零折线图1 - 副本.xlsx]Sheet1'!$E$3</c:f>
              <c:strCache>
                <c:ptCount val="1"/>
                <c:pt idx="0">
                  <c:v>全县累计增速</c:v>
                </c:pt>
              </c:strCache>
            </c:strRef>
          </c:tx>
          <c:spPr>
            <a:ln w="28575" cap="rnd">
              <a:solidFill>
                <a:schemeClr val="accent1"/>
              </a:solidFill>
              <a:prstDash val="sysDash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'[社消零折线图1 - 副本.xlsx]Sheet1'!$D$4:$D$15</c:f>
              <c:strCache>
                <c:ptCount val="12"/>
                <c:pt idx="0">
                  <c:v>2023年9月</c:v>
                </c:pt>
                <c:pt idx="1">
                  <c:v>10月</c:v>
                </c:pt>
                <c:pt idx="2">
                  <c:v>11月</c:v>
                </c:pt>
                <c:pt idx="3">
                  <c:v>12月</c:v>
                </c:pt>
                <c:pt idx="4">
                  <c:v>2024年1-2月</c:v>
                </c:pt>
                <c:pt idx="5">
                  <c:v>3月</c:v>
                </c:pt>
                <c:pt idx="6">
                  <c:v>4月</c:v>
                </c:pt>
                <c:pt idx="7">
                  <c:v>5月</c:v>
                </c:pt>
                <c:pt idx="8">
                  <c:v>6月</c:v>
                </c:pt>
                <c:pt idx="9">
                  <c:v>7月</c:v>
                </c:pt>
                <c:pt idx="10">
                  <c:v>8月</c:v>
                </c:pt>
                <c:pt idx="11">
                  <c:v>9月</c:v>
                </c:pt>
              </c:strCache>
            </c:strRef>
          </c:cat>
          <c:val>
            <c:numRef>
              <c:f>'[社消零折线图1 - 副本.xlsx]Sheet1'!$E$4:$E$15</c:f>
              <c:numCache>
                <c:formatCode>General</c:formatCode>
                <c:ptCount val="12"/>
                <c:pt idx="0">
                  <c:v>12.2</c:v>
                </c:pt>
                <c:pt idx="1">
                  <c:v>16.6</c:v>
                </c:pt>
                <c:pt idx="2">
                  <c:v>16.2</c:v>
                </c:pt>
                <c:pt idx="3">
                  <c:v>18.2</c:v>
                </c:pt>
                <c:pt idx="4">
                  <c:v>-10.7</c:v>
                </c:pt>
                <c:pt idx="5">
                  <c:v>-0.3</c:v>
                </c:pt>
                <c:pt idx="6">
                  <c:v>-14.1</c:v>
                </c:pt>
                <c:pt idx="7">
                  <c:v>-6.8</c:v>
                </c:pt>
                <c:pt idx="8">
                  <c:v>1.5</c:v>
                </c:pt>
                <c:pt idx="9">
                  <c:v>5.6</c:v>
                </c:pt>
                <c:pt idx="10">
                  <c:v>21.69</c:v>
                </c:pt>
                <c:pt idx="11">
                  <c:v>5.3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'[社消零折线图1 - 副本.xlsx]Sheet1'!$F$3</c:f>
              <c:strCache>
                <c:ptCount val="1"/>
                <c:pt idx="0">
                  <c:v>全州累计增速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'[社消零折线图1 - 副本.xlsx]Sheet1'!$D$4:$D$15</c:f>
              <c:strCache>
                <c:ptCount val="12"/>
                <c:pt idx="0">
                  <c:v>2023年9月</c:v>
                </c:pt>
                <c:pt idx="1">
                  <c:v>10月</c:v>
                </c:pt>
                <c:pt idx="2">
                  <c:v>11月</c:v>
                </c:pt>
                <c:pt idx="3">
                  <c:v>12月</c:v>
                </c:pt>
                <c:pt idx="4">
                  <c:v>2024年1-2月</c:v>
                </c:pt>
                <c:pt idx="5">
                  <c:v>3月</c:v>
                </c:pt>
                <c:pt idx="6">
                  <c:v>4月</c:v>
                </c:pt>
                <c:pt idx="7">
                  <c:v>5月</c:v>
                </c:pt>
                <c:pt idx="8">
                  <c:v>6月</c:v>
                </c:pt>
                <c:pt idx="9">
                  <c:v>7月</c:v>
                </c:pt>
                <c:pt idx="10">
                  <c:v>8月</c:v>
                </c:pt>
                <c:pt idx="11">
                  <c:v>9月</c:v>
                </c:pt>
              </c:strCache>
            </c:strRef>
          </c:cat>
          <c:val>
            <c:numRef>
              <c:f>'[社消零折线图1 - 副本.xlsx]Sheet1'!$F$4:$F$15</c:f>
              <c:numCache>
                <c:formatCode>General</c:formatCode>
                <c:ptCount val="12"/>
                <c:pt idx="0">
                  <c:v>13.4</c:v>
                </c:pt>
                <c:pt idx="1">
                  <c:v>22.6</c:v>
                </c:pt>
                <c:pt idx="2">
                  <c:v>24.0</c:v>
                </c:pt>
                <c:pt idx="3">
                  <c:v>19.0</c:v>
                </c:pt>
                <c:pt idx="4">
                  <c:v>-4.5</c:v>
                </c:pt>
                <c:pt idx="5">
                  <c:v>-2.8</c:v>
                </c:pt>
                <c:pt idx="6">
                  <c:v>-7.9</c:v>
                </c:pt>
                <c:pt idx="7">
                  <c:v>-6.8</c:v>
                </c:pt>
                <c:pt idx="8">
                  <c:v>-2.6</c:v>
                </c:pt>
                <c:pt idx="9">
                  <c:v>-12.4</c:v>
                </c:pt>
                <c:pt idx="10">
                  <c:v>-6.91</c:v>
                </c:pt>
                <c:pt idx="11">
                  <c:v>-1.7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54437632"/>
        <c:axId val="956134381"/>
      </c:lineChart>
      <c:catAx>
        <c:axId val="154437632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6134381"/>
        <c:crosses val="autoZero"/>
        <c:auto val="1"/>
        <c:lblAlgn val="ctr"/>
        <c:lblOffset val="100"/>
        <c:noMultiLvlLbl val="0"/>
      </c:catAx>
      <c:valAx>
        <c:axId val="956134381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4437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>
                <a:solidFill>
                  <a:sysClr val="windowText" lastClr="000000"/>
                </a:solidFill>
              </a:rPr>
              <a:t>限额以上社会消费品零售总额</a:t>
            </a:r>
            <a:endParaRPr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35683992504192"/>
          <c:y val="0.0046838407494145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'[社消零折线图1 - 副本.xlsx]Sheet1'!$B$3</c:f>
              <c:strCache>
                <c:ptCount val="1"/>
                <c:pt idx="0">
                  <c:v>2024年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'[社消零折线图1 - 副本.xlsx]Sheet1'!$A$4:$A$11</c:f>
              <c:strCache>
                <c:ptCount val="8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</c:strCache>
            </c:strRef>
          </c:cat>
          <c:val>
            <c:numRef>
              <c:f>'[社消零折线图1 - 副本.xlsx]Sheet1'!$B$4:$B$11</c:f>
              <c:numCache>
                <c:formatCode>General</c:formatCode>
                <c:ptCount val="8"/>
                <c:pt idx="0">
                  <c:v>2215.7</c:v>
                </c:pt>
                <c:pt idx="1">
                  <c:v>4318.4</c:v>
                </c:pt>
                <c:pt idx="2">
                  <c:v>5478.8</c:v>
                </c:pt>
                <c:pt idx="3">
                  <c:v>7003.6</c:v>
                </c:pt>
                <c:pt idx="4">
                  <c:v>11577.1</c:v>
                </c:pt>
                <c:pt idx="5">
                  <c:v>16104.91</c:v>
                </c:pt>
                <c:pt idx="6">
                  <c:v>19737.46</c:v>
                </c:pt>
                <c:pt idx="7">
                  <c:v>23141.8</c:v>
                </c:pt>
              </c:numCache>
            </c:numRef>
          </c:val>
        </c:ser>
        <c:ser>
          <c:idx val="1"/>
          <c:order val="1"/>
          <c:tx>
            <c:strRef>
              <c:f>'[社消零折线图1 - 副本.xlsx]Sheet1'!$C$3</c:f>
              <c:strCache>
                <c:ptCount val="1"/>
                <c:pt idx="0">
                  <c:v>2023年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'[社消零折线图1 - 副本.xlsx]Sheet1'!$A$4:$A$11</c:f>
              <c:strCache>
                <c:ptCount val="8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</c:strCache>
            </c:strRef>
          </c:cat>
          <c:val>
            <c:numRef>
              <c:f>'[社消零折线图1 - 副本.xlsx]Sheet1'!$C$4:$C$11</c:f>
              <c:numCache>
                <c:formatCode>General</c:formatCode>
                <c:ptCount val="8"/>
                <c:pt idx="0">
                  <c:v>2481.7</c:v>
                </c:pt>
                <c:pt idx="1">
                  <c:v>4125.9</c:v>
                </c:pt>
                <c:pt idx="2">
                  <c:v>6376.7</c:v>
                </c:pt>
                <c:pt idx="3">
                  <c:v>7516.2</c:v>
                </c:pt>
                <c:pt idx="4">
                  <c:v>10389.9</c:v>
                </c:pt>
                <c:pt idx="5">
                  <c:v>15254.32</c:v>
                </c:pt>
                <c:pt idx="6">
                  <c:v>17907.31</c:v>
                </c:pt>
                <c:pt idx="7">
                  <c:v>19699.7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7791716"/>
        <c:axId val="515045449"/>
      </c:barChart>
      <c:catAx>
        <c:axId val="677791716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5045449"/>
        <c:crosses val="autoZero"/>
        <c:auto val="1"/>
        <c:lblAlgn val="ctr"/>
        <c:lblOffset val="100"/>
        <c:noMultiLvlLbl val="0"/>
      </c:catAx>
      <c:valAx>
        <c:axId val="51504544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777917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5774</Words>
  <Pages>1</Pages>
  <Characters>7440</Characters>
  <Application>WPS Office</Application>
  <DocSecurity>0</DocSecurity>
  <Paragraphs>327</Paragraphs>
  <ScaleCrop>false</ScaleCrop>
  <LinksUpToDate>false</LinksUpToDate>
  <CharactersWithSpaces>7567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2024-10-31T12:46:57Z</dcterms:created>
  <dc:creator>Administrator</dc:creator>
  <lastModifiedBy>ANP-AN00</lastModifiedBy>
  <lastPrinted>2024-08-29T03:29:00Z</lastPrinted>
  <dcterms:modified xsi:type="dcterms:W3CDTF">2024-10-31T12:51:45Z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e9de9cfbbb7a47b795afc865fa1ecc4f_23</vt:lpwstr>
  </property>
</Properties>
</file>